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15" w:type="dxa"/>
        <w:tblLook w:val="04A0" w:firstRow="1" w:lastRow="0" w:firstColumn="1" w:lastColumn="0" w:noHBand="0" w:noVBand="1"/>
      </w:tblPr>
      <w:tblGrid>
        <w:gridCol w:w="1398"/>
        <w:gridCol w:w="7440"/>
      </w:tblGrid>
      <w:tr w:rsidR="00E27A4F" w:rsidTr="00E27A4F">
        <w:trPr>
          <w:tblCellSpacing w:w="15" w:type="dxa"/>
        </w:trPr>
        <w:tc>
          <w:tcPr>
            <w:tcW w:w="0" w:type="auto"/>
            <w:shd w:val="clear" w:color="auto" w:fill="CCEEFF"/>
            <w:noWrap/>
            <w:tcMar>
              <w:top w:w="15" w:type="dxa"/>
              <w:left w:w="15" w:type="dxa"/>
              <w:bottom w:w="15" w:type="dxa"/>
              <w:right w:w="15" w:type="dxa"/>
            </w:tcMar>
            <w:vAlign w:val="center"/>
            <w:hideMark/>
          </w:tcPr>
          <w:p w:rsidR="00E27A4F" w:rsidRDefault="00E27A4F">
            <w:pPr>
              <w:rPr>
                <w:rFonts w:eastAsia="Times New Roman"/>
              </w:rPr>
            </w:pPr>
            <w:r>
              <w:rPr>
                <w:rFonts w:ascii="Arial" w:eastAsia="Times New Roman" w:hAnsi="Arial" w:cs="Arial"/>
                <w:b/>
                <w:bCs/>
                <w:sz w:val="20"/>
                <w:szCs w:val="20"/>
              </w:rPr>
              <w:t xml:space="preserve">Organismo: </w:t>
            </w:r>
          </w:p>
        </w:tc>
        <w:tc>
          <w:tcPr>
            <w:tcW w:w="0" w:type="auto"/>
            <w:tcMar>
              <w:top w:w="15" w:type="dxa"/>
              <w:left w:w="15" w:type="dxa"/>
              <w:bottom w:w="15" w:type="dxa"/>
              <w:right w:w="15" w:type="dxa"/>
            </w:tcMar>
            <w:vAlign w:val="center"/>
            <w:hideMark/>
          </w:tcPr>
          <w:p w:rsidR="00E27A4F" w:rsidRDefault="00E27A4F">
            <w:pPr>
              <w:rPr>
                <w:rFonts w:eastAsia="Times New Roman"/>
              </w:rPr>
            </w:pPr>
            <w:r>
              <w:rPr>
                <w:rFonts w:ascii="Arial" w:eastAsia="Times New Roman" w:hAnsi="Arial" w:cs="Arial"/>
                <w:sz w:val="20"/>
                <w:szCs w:val="20"/>
              </w:rPr>
              <w:t xml:space="preserve">Cámara Contencioso Administrativa San </w:t>
            </w:r>
            <w:proofErr w:type="spellStart"/>
            <w:r>
              <w:rPr>
                <w:rFonts w:ascii="Arial" w:eastAsia="Times New Roman" w:hAnsi="Arial" w:cs="Arial"/>
                <w:sz w:val="20"/>
                <w:szCs w:val="20"/>
              </w:rPr>
              <w:t>Mart¡n</w:t>
            </w:r>
            <w:proofErr w:type="spellEnd"/>
          </w:p>
        </w:tc>
      </w:tr>
      <w:tr w:rsidR="00E27A4F" w:rsidTr="00E27A4F">
        <w:trPr>
          <w:tblCellSpacing w:w="15" w:type="dxa"/>
        </w:trPr>
        <w:tc>
          <w:tcPr>
            <w:tcW w:w="0" w:type="auto"/>
            <w:shd w:val="clear" w:color="auto" w:fill="CCEEFF"/>
            <w:noWrap/>
            <w:tcMar>
              <w:top w:w="15" w:type="dxa"/>
              <w:left w:w="15" w:type="dxa"/>
              <w:bottom w:w="15" w:type="dxa"/>
              <w:right w:w="15" w:type="dxa"/>
            </w:tcMar>
            <w:vAlign w:val="center"/>
            <w:hideMark/>
          </w:tcPr>
          <w:p w:rsidR="00E27A4F" w:rsidRDefault="00E27A4F">
            <w:pPr>
              <w:rPr>
                <w:rFonts w:eastAsia="Times New Roman"/>
              </w:rPr>
            </w:pPr>
            <w:r>
              <w:rPr>
                <w:rFonts w:ascii="Arial" w:eastAsia="Times New Roman" w:hAnsi="Arial" w:cs="Arial"/>
                <w:b/>
                <w:bCs/>
                <w:sz w:val="20"/>
                <w:szCs w:val="20"/>
              </w:rPr>
              <w:t xml:space="preserve">Carátula: </w:t>
            </w:r>
          </w:p>
        </w:tc>
        <w:tc>
          <w:tcPr>
            <w:tcW w:w="0" w:type="auto"/>
            <w:tcMar>
              <w:top w:w="15" w:type="dxa"/>
              <w:left w:w="15" w:type="dxa"/>
              <w:bottom w:w="15" w:type="dxa"/>
              <w:right w:w="15" w:type="dxa"/>
            </w:tcMar>
            <w:vAlign w:val="center"/>
            <w:hideMark/>
          </w:tcPr>
          <w:p w:rsidR="00E27A4F" w:rsidRDefault="00E27A4F">
            <w:pPr>
              <w:rPr>
                <w:rFonts w:eastAsia="Times New Roman"/>
              </w:rPr>
            </w:pPr>
            <w:r>
              <w:rPr>
                <w:rFonts w:ascii="Arial" w:eastAsia="Times New Roman" w:hAnsi="Arial" w:cs="Arial"/>
                <w:sz w:val="20"/>
                <w:szCs w:val="20"/>
              </w:rPr>
              <w:t xml:space="preserve">BANCO DE SERVICIOS FINANCIEROS SAC/ MUNICIPALIDAD DE HURLINGHAM S/PRETENSION ANULATORIA - PREVISION - </w:t>
            </w:r>
          </w:p>
        </w:tc>
      </w:tr>
      <w:tr w:rsidR="00E27A4F" w:rsidTr="00E27A4F">
        <w:trPr>
          <w:tblCellSpacing w:w="15" w:type="dxa"/>
        </w:trPr>
        <w:tc>
          <w:tcPr>
            <w:tcW w:w="0" w:type="auto"/>
            <w:shd w:val="clear" w:color="auto" w:fill="CCEEFF"/>
            <w:noWrap/>
            <w:tcMar>
              <w:top w:w="15" w:type="dxa"/>
              <w:left w:w="15" w:type="dxa"/>
              <w:bottom w:w="15" w:type="dxa"/>
              <w:right w:w="15" w:type="dxa"/>
            </w:tcMar>
            <w:vAlign w:val="center"/>
            <w:hideMark/>
          </w:tcPr>
          <w:p w:rsidR="00E27A4F" w:rsidRDefault="00E27A4F">
            <w:pPr>
              <w:rPr>
                <w:rFonts w:eastAsia="Times New Roman"/>
              </w:rPr>
            </w:pPr>
            <w:proofErr w:type="spellStart"/>
            <w:r>
              <w:rPr>
                <w:rFonts w:ascii="Arial" w:eastAsia="Times New Roman" w:hAnsi="Arial" w:cs="Arial"/>
                <w:b/>
                <w:bCs/>
                <w:sz w:val="20"/>
                <w:szCs w:val="20"/>
              </w:rPr>
              <w:t>Nro</w:t>
            </w:r>
            <w:proofErr w:type="spellEnd"/>
            <w:r>
              <w:rPr>
                <w:rFonts w:ascii="Arial" w:eastAsia="Times New Roman" w:hAnsi="Arial" w:cs="Arial"/>
                <w:b/>
                <w:bCs/>
                <w:sz w:val="20"/>
                <w:szCs w:val="20"/>
              </w:rPr>
              <w:t xml:space="preserve"> de causa: </w:t>
            </w:r>
          </w:p>
        </w:tc>
        <w:tc>
          <w:tcPr>
            <w:tcW w:w="0" w:type="auto"/>
            <w:tcMar>
              <w:top w:w="15" w:type="dxa"/>
              <w:left w:w="15" w:type="dxa"/>
              <w:bottom w:w="15" w:type="dxa"/>
              <w:right w:w="15" w:type="dxa"/>
            </w:tcMar>
            <w:vAlign w:val="center"/>
            <w:hideMark/>
          </w:tcPr>
          <w:p w:rsidR="00E27A4F" w:rsidRDefault="00E27A4F">
            <w:pPr>
              <w:rPr>
                <w:rFonts w:eastAsia="Times New Roman"/>
              </w:rPr>
            </w:pPr>
            <w:r>
              <w:rPr>
                <w:rFonts w:ascii="Arial" w:eastAsia="Times New Roman" w:hAnsi="Arial" w:cs="Arial"/>
                <w:sz w:val="20"/>
                <w:szCs w:val="20"/>
              </w:rPr>
              <w:t>3913</w:t>
            </w:r>
          </w:p>
        </w:tc>
      </w:tr>
      <w:tr w:rsidR="00E27A4F" w:rsidTr="00E27A4F">
        <w:trPr>
          <w:tblCellSpacing w:w="15" w:type="dxa"/>
        </w:trPr>
        <w:tc>
          <w:tcPr>
            <w:tcW w:w="0" w:type="auto"/>
            <w:shd w:val="clear" w:color="auto" w:fill="CCEEFF"/>
            <w:noWrap/>
            <w:tcMar>
              <w:top w:w="15" w:type="dxa"/>
              <w:left w:w="15" w:type="dxa"/>
              <w:bottom w:w="15" w:type="dxa"/>
              <w:right w:w="15" w:type="dxa"/>
            </w:tcMar>
            <w:vAlign w:val="center"/>
            <w:hideMark/>
          </w:tcPr>
          <w:p w:rsidR="00E27A4F" w:rsidRDefault="00E27A4F">
            <w:pPr>
              <w:rPr>
                <w:rFonts w:eastAsia="Times New Roman"/>
              </w:rPr>
            </w:pPr>
            <w:r>
              <w:rPr>
                <w:rFonts w:ascii="Arial" w:eastAsia="Times New Roman" w:hAnsi="Arial" w:cs="Arial"/>
                <w:b/>
                <w:bCs/>
                <w:sz w:val="20"/>
                <w:szCs w:val="20"/>
              </w:rPr>
              <w:t xml:space="preserve">Fecha: </w:t>
            </w:r>
          </w:p>
        </w:tc>
        <w:tc>
          <w:tcPr>
            <w:tcW w:w="0" w:type="auto"/>
            <w:tcMar>
              <w:top w:w="15" w:type="dxa"/>
              <w:left w:w="15" w:type="dxa"/>
              <w:bottom w:w="15" w:type="dxa"/>
              <w:right w:w="15" w:type="dxa"/>
            </w:tcMar>
            <w:vAlign w:val="center"/>
            <w:hideMark/>
          </w:tcPr>
          <w:p w:rsidR="00E27A4F" w:rsidRDefault="00E27A4F">
            <w:pPr>
              <w:rPr>
                <w:rFonts w:eastAsia="Times New Roman"/>
              </w:rPr>
            </w:pPr>
            <w:r>
              <w:rPr>
                <w:rFonts w:ascii="Arial" w:eastAsia="Times New Roman" w:hAnsi="Arial" w:cs="Arial"/>
                <w:sz w:val="20"/>
                <w:szCs w:val="20"/>
              </w:rPr>
              <w:t>09/10/2020 14:01:40</w:t>
            </w:r>
          </w:p>
        </w:tc>
      </w:tr>
      <w:tr w:rsidR="00E27A4F" w:rsidTr="00E27A4F">
        <w:trPr>
          <w:tblCellSpacing w:w="15" w:type="dxa"/>
        </w:trPr>
        <w:tc>
          <w:tcPr>
            <w:tcW w:w="0" w:type="auto"/>
            <w:shd w:val="clear" w:color="auto" w:fill="CCEEFF"/>
            <w:noWrap/>
            <w:tcMar>
              <w:top w:w="15" w:type="dxa"/>
              <w:left w:w="15" w:type="dxa"/>
              <w:bottom w:w="15" w:type="dxa"/>
              <w:right w:w="15" w:type="dxa"/>
            </w:tcMar>
            <w:vAlign w:val="center"/>
            <w:hideMark/>
          </w:tcPr>
          <w:p w:rsidR="00E27A4F" w:rsidRDefault="00E27A4F">
            <w:pPr>
              <w:rPr>
                <w:rFonts w:eastAsia="Times New Roman"/>
              </w:rPr>
            </w:pPr>
            <w:r>
              <w:rPr>
                <w:rFonts w:ascii="Arial" w:eastAsia="Times New Roman" w:hAnsi="Arial" w:cs="Arial"/>
                <w:b/>
                <w:bCs/>
                <w:sz w:val="20"/>
                <w:szCs w:val="20"/>
              </w:rPr>
              <w:t xml:space="preserve">Descripción: </w:t>
            </w:r>
          </w:p>
        </w:tc>
        <w:tc>
          <w:tcPr>
            <w:tcW w:w="0" w:type="auto"/>
            <w:tcMar>
              <w:top w:w="15" w:type="dxa"/>
              <w:left w:w="15" w:type="dxa"/>
              <w:bottom w:w="15" w:type="dxa"/>
              <w:right w:w="15" w:type="dxa"/>
            </w:tcMar>
            <w:vAlign w:val="center"/>
            <w:hideMark/>
          </w:tcPr>
          <w:p w:rsidR="00E27A4F" w:rsidRDefault="00E27A4F">
            <w:pPr>
              <w:rPr>
                <w:rFonts w:eastAsia="Times New Roman"/>
              </w:rPr>
            </w:pPr>
            <w:r>
              <w:rPr>
                <w:rFonts w:ascii="Arial" w:eastAsia="Times New Roman" w:hAnsi="Arial" w:cs="Arial"/>
                <w:sz w:val="20"/>
                <w:szCs w:val="20"/>
              </w:rPr>
              <w:t>SENTENCIA</w:t>
            </w:r>
          </w:p>
        </w:tc>
      </w:tr>
      <w:tr w:rsidR="00E27A4F" w:rsidTr="00E27A4F">
        <w:trPr>
          <w:tblCellSpacing w:w="15" w:type="dxa"/>
        </w:trPr>
        <w:tc>
          <w:tcPr>
            <w:tcW w:w="0" w:type="auto"/>
            <w:shd w:val="clear" w:color="auto" w:fill="CCEEFF"/>
            <w:noWrap/>
            <w:tcMar>
              <w:top w:w="15" w:type="dxa"/>
              <w:left w:w="15" w:type="dxa"/>
              <w:bottom w:w="15" w:type="dxa"/>
              <w:right w:w="15" w:type="dxa"/>
            </w:tcMar>
            <w:vAlign w:val="center"/>
            <w:hideMark/>
          </w:tcPr>
          <w:p w:rsidR="00E27A4F" w:rsidRDefault="00E27A4F">
            <w:pPr>
              <w:rPr>
                <w:rFonts w:eastAsia="Times New Roman"/>
              </w:rPr>
            </w:pPr>
            <w:r>
              <w:rPr>
                <w:rFonts w:ascii="Arial" w:eastAsia="Times New Roman" w:hAnsi="Arial" w:cs="Arial"/>
                <w:b/>
                <w:bCs/>
                <w:sz w:val="20"/>
                <w:szCs w:val="20"/>
              </w:rPr>
              <w:t xml:space="preserve">Estado: </w:t>
            </w:r>
          </w:p>
        </w:tc>
        <w:tc>
          <w:tcPr>
            <w:tcW w:w="0" w:type="auto"/>
            <w:tcMar>
              <w:top w:w="15" w:type="dxa"/>
              <w:left w:w="15" w:type="dxa"/>
              <w:bottom w:w="15" w:type="dxa"/>
              <w:right w:w="15" w:type="dxa"/>
            </w:tcMar>
            <w:vAlign w:val="center"/>
            <w:hideMark/>
          </w:tcPr>
          <w:p w:rsidR="00E27A4F" w:rsidRDefault="00E27A4F">
            <w:pPr>
              <w:rPr>
                <w:rFonts w:eastAsia="Times New Roman"/>
              </w:rPr>
            </w:pPr>
            <w:r>
              <w:rPr>
                <w:rFonts w:ascii="Arial" w:eastAsia="Times New Roman" w:hAnsi="Arial" w:cs="Arial"/>
                <w:sz w:val="20"/>
                <w:szCs w:val="20"/>
              </w:rPr>
              <w:t>Para Notificar</w:t>
            </w:r>
          </w:p>
        </w:tc>
      </w:tr>
      <w:tr w:rsidR="00E27A4F" w:rsidTr="00E27A4F">
        <w:trPr>
          <w:tblCellSpacing w:w="15" w:type="dxa"/>
        </w:trPr>
        <w:tc>
          <w:tcPr>
            <w:tcW w:w="0" w:type="auto"/>
            <w:gridSpan w:val="2"/>
            <w:shd w:val="clear" w:color="auto" w:fill="003063"/>
            <w:tcMar>
              <w:top w:w="15" w:type="dxa"/>
              <w:left w:w="15" w:type="dxa"/>
              <w:bottom w:w="15" w:type="dxa"/>
              <w:right w:w="15" w:type="dxa"/>
            </w:tcMar>
            <w:vAlign w:val="center"/>
            <w:hideMark/>
          </w:tcPr>
          <w:p w:rsidR="00E27A4F" w:rsidRDefault="00E27A4F">
            <w:pPr>
              <w:rPr>
                <w:rFonts w:eastAsia="Times New Roman"/>
              </w:rPr>
            </w:pPr>
          </w:p>
        </w:tc>
      </w:tr>
    </w:tbl>
    <w:p w:rsidR="00E27A4F" w:rsidRDefault="00E27A4F" w:rsidP="00E27A4F">
      <w:pPr>
        <w:pStyle w:val="NormalWeb"/>
      </w:pPr>
      <w:r>
        <w:t xml:space="preserve">Funcionario </w:t>
      </w:r>
      <w:proofErr w:type="gramStart"/>
      <w:r>
        <w:t>Firmante :09</w:t>
      </w:r>
      <w:proofErr w:type="gramEnd"/>
      <w:r>
        <w:t>/10/2020 09:29:54 - SAULQUIN Jorge Augusto - JUEZ</w:t>
      </w:r>
    </w:p>
    <w:p w:rsidR="00E27A4F" w:rsidRDefault="00E27A4F" w:rsidP="00E27A4F">
      <w:pPr>
        <w:pStyle w:val="NormalWeb"/>
      </w:pPr>
      <w:r>
        <w:t xml:space="preserve">Funcionario </w:t>
      </w:r>
      <w:proofErr w:type="gramStart"/>
      <w:r>
        <w:t>Firmante :09</w:t>
      </w:r>
      <w:proofErr w:type="gramEnd"/>
      <w:r>
        <w:t xml:space="preserve">/10/2020 09:54:01 - LAMI Carlos </w:t>
      </w:r>
      <w:proofErr w:type="spellStart"/>
      <w:r>
        <w:t>Ramon</w:t>
      </w:r>
      <w:proofErr w:type="spellEnd"/>
      <w:r>
        <w:t xml:space="preserve"> -</w:t>
      </w:r>
    </w:p>
    <w:p w:rsidR="00E27A4F" w:rsidRDefault="00E27A4F" w:rsidP="00E27A4F">
      <w:pPr>
        <w:pStyle w:val="NormalWeb"/>
      </w:pPr>
      <w:r>
        <w:t xml:space="preserve">Funcionario </w:t>
      </w:r>
      <w:proofErr w:type="gramStart"/>
      <w:r>
        <w:t>Firmante :09</w:t>
      </w:r>
      <w:proofErr w:type="gramEnd"/>
      <w:r>
        <w:t>/10/2020 13:56:27 - PEREZ Maria Silvina -</w:t>
      </w:r>
    </w:p>
    <w:p w:rsidR="00E27A4F" w:rsidRDefault="00E27A4F" w:rsidP="00E27A4F">
      <w:pPr>
        <w:pStyle w:val="NormalWeb"/>
      </w:pPr>
      <w:r>
        <w:t xml:space="preserve">Funcionario </w:t>
      </w:r>
      <w:proofErr w:type="gramStart"/>
      <w:r>
        <w:t>Firmante :09</w:t>
      </w:r>
      <w:proofErr w:type="gramEnd"/>
      <w:r>
        <w:t>/10/2020 14:01:35 - PAPEL Romina Laura - AUXILIAR LETRADO DE CÁMARA DE APELACIÓN</w:t>
      </w:r>
    </w:p>
    <w:p w:rsidR="00E27A4F" w:rsidRDefault="00E27A4F" w:rsidP="00E27A4F">
      <w:pPr>
        <w:pStyle w:val="NormalWeb"/>
      </w:pPr>
      <w:proofErr w:type="gramStart"/>
      <w:r>
        <w:t>Observación :</w:t>
      </w:r>
      <w:proofErr w:type="gramEnd"/>
    </w:p>
    <w:p w:rsidR="00E27A4F" w:rsidRDefault="00E27A4F" w:rsidP="00E27A4F">
      <w:pPr>
        <w:pStyle w:val="NormalWeb"/>
      </w:pPr>
      <w:r>
        <w:t>Sentencia - Folio</w:t>
      </w:r>
      <w:proofErr w:type="gramStart"/>
      <w:r>
        <w:t>: :1876</w:t>
      </w:r>
      <w:proofErr w:type="gramEnd"/>
    </w:p>
    <w:p w:rsidR="00E27A4F" w:rsidRDefault="00E27A4F" w:rsidP="00E27A4F">
      <w:pPr>
        <w:pStyle w:val="NormalWeb"/>
      </w:pPr>
      <w:r>
        <w:t xml:space="preserve">Sentencia - Nro. </w:t>
      </w:r>
      <w:proofErr w:type="gramStart"/>
      <w:r>
        <w:t>de</w:t>
      </w:r>
      <w:proofErr w:type="gramEnd"/>
      <w:r>
        <w:t xml:space="preserve"> Registro: :132</w:t>
      </w:r>
    </w:p>
    <w:p w:rsidR="00E27A4F" w:rsidRDefault="00E27A4F" w:rsidP="00E27A4F">
      <w:pPr>
        <w:pStyle w:val="NormalWeb"/>
        <w:spacing w:line="360" w:lineRule="auto"/>
        <w:jc w:val="both"/>
      </w:pPr>
      <w:r>
        <w:rPr>
          <w:rFonts w:ascii="Arial" w:hAnsi="Arial" w:cs="Arial"/>
        </w:rPr>
        <w:t> </w:t>
      </w:r>
    </w:p>
    <w:p w:rsidR="00E27A4F" w:rsidRDefault="00E27A4F" w:rsidP="00E27A4F">
      <w:pPr>
        <w:pStyle w:val="NormalWeb"/>
        <w:spacing w:line="360" w:lineRule="auto"/>
        <w:jc w:val="both"/>
      </w:pPr>
      <w:r>
        <w:rPr>
          <w:rFonts w:ascii="Arial" w:hAnsi="Arial" w:cs="Arial"/>
        </w:rPr>
        <w:t> </w:t>
      </w:r>
    </w:p>
    <w:p w:rsidR="00E27A4F" w:rsidRDefault="00E27A4F" w:rsidP="00E27A4F">
      <w:pPr>
        <w:pStyle w:val="NormalWeb"/>
        <w:spacing w:line="360" w:lineRule="auto"/>
        <w:jc w:val="both"/>
      </w:pPr>
      <w:r>
        <w:rPr>
          <w:rFonts w:ascii="Arial" w:hAnsi="Arial" w:cs="Arial"/>
          <w:shd w:val="clear" w:color="auto" w:fill="FFFFFF"/>
        </w:rPr>
        <w:tab/>
        <w:t xml:space="preserve">En la ciudad de General San Martín, en la fecha de su firma digital, los señores Jueces de la Cámara de Apelación en lo Contencioso Administrativo con asiento en San Martín integrada en este acto por el Dr. Jorge Augusto </w:t>
      </w:r>
      <w:proofErr w:type="spellStart"/>
      <w:r>
        <w:rPr>
          <w:rFonts w:ascii="Arial" w:hAnsi="Arial" w:cs="Arial"/>
          <w:shd w:val="clear" w:color="auto" w:fill="FFFFFF"/>
        </w:rPr>
        <w:t>Saulquin</w:t>
      </w:r>
      <w:proofErr w:type="spellEnd"/>
      <w:r>
        <w:rPr>
          <w:rFonts w:ascii="Arial" w:hAnsi="Arial" w:cs="Arial"/>
          <w:shd w:val="clear" w:color="auto" w:fill="FFFFFF"/>
        </w:rPr>
        <w:t xml:space="preserve">, el Dr. </w:t>
      </w:r>
      <w:r>
        <w:rPr>
          <w:rFonts w:ascii="Arial" w:hAnsi="Arial" w:cs="Arial"/>
          <w:color w:val="000000"/>
        </w:rPr>
        <w:t xml:space="preserve">Carlos Ramón </w:t>
      </w:r>
      <w:proofErr w:type="spellStart"/>
      <w:r>
        <w:rPr>
          <w:rFonts w:ascii="Arial" w:hAnsi="Arial" w:cs="Arial"/>
          <w:color w:val="000000"/>
        </w:rPr>
        <w:t>Lami</w:t>
      </w:r>
      <w:proofErr w:type="spellEnd"/>
      <w:r>
        <w:rPr>
          <w:rFonts w:ascii="Arial" w:hAnsi="Arial" w:cs="Arial"/>
          <w:color w:val="000000"/>
        </w:rPr>
        <w:t xml:space="preserve"> y la Dra. María Silvina Pérez</w:t>
      </w:r>
      <w:r>
        <w:rPr>
          <w:rFonts w:ascii="Arial" w:hAnsi="Arial" w:cs="Arial"/>
          <w:shd w:val="clear" w:color="auto" w:fill="FFFFFF"/>
        </w:rPr>
        <w:t xml:space="preserve"> celebran acuerdo ordinario por vía telemática utilizando las herramientas de acceso remoto provistas por la SCBA, para dictar sentencia en la </w:t>
      </w:r>
      <w:r>
        <w:rPr>
          <w:rFonts w:ascii="Arial" w:hAnsi="Arial" w:cs="Arial"/>
          <w:b/>
          <w:bCs/>
          <w:shd w:val="clear" w:color="auto" w:fill="FFFFFF"/>
        </w:rPr>
        <w:t>causa </w:t>
      </w:r>
      <w:r>
        <w:rPr>
          <w:rFonts w:ascii="Arial" w:hAnsi="Arial" w:cs="Arial"/>
          <w:shd w:val="clear" w:color="auto" w:fill="FFFFFF"/>
        </w:rPr>
        <w:t>Nº 3913/15,</w:t>
      </w:r>
      <w:r>
        <w:rPr>
          <w:rFonts w:ascii="Arial" w:hAnsi="Arial" w:cs="Arial"/>
          <w:b/>
          <w:bCs/>
          <w:shd w:val="clear" w:color="auto" w:fill="FFFFFF"/>
        </w:rPr>
        <w:t> caratulada “BANCO DE SERVICIOS FINANCIEROS S.A. C/ MUNICIPALIDAD DE HURLINGHAM S/ PRETENSION ANULATORIA”.</w:t>
      </w:r>
    </w:p>
    <w:p w:rsidR="00E27A4F" w:rsidRDefault="00E27A4F" w:rsidP="00E27A4F">
      <w:pPr>
        <w:pStyle w:val="NormalWeb"/>
        <w:spacing w:line="360" w:lineRule="auto"/>
        <w:ind w:firstLine="1120"/>
      </w:pPr>
      <w:r>
        <w:rPr>
          <w:rFonts w:ascii="Calibri" w:hAnsi="Calibri" w:cs="Calibri"/>
          <w:b/>
          <w:bCs/>
        </w:rPr>
        <w:tab/>
      </w:r>
      <w:r>
        <w:rPr>
          <w:rFonts w:ascii="Calibri" w:hAnsi="Calibri" w:cs="Calibri"/>
          <w:b/>
          <w:bCs/>
        </w:rPr>
        <w:tab/>
      </w:r>
      <w:r>
        <w:rPr>
          <w:rFonts w:ascii="Calibri" w:hAnsi="Calibri" w:cs="Calibri"/>
          <w:b/>
          <w:bCs/>
        </w:rPr>
        <w:tab/>
      </w:r>
      <w:r>
        <w:rPr>
          <w:rFonts w:ascii="Arial" w:hAnsi="Arial" w:cs="Arial"/>
          <w:b/>
          <w:bCs/>
          <w:u w:val="single"/>
        </w:rPr>
        <w:t>A N T E C E D E N T E S</w:t>
      </w:r>
    </w:p>
    <w:p w:rsidR="00E27A4F" w:rsidRDefault="00E27A4F" w:rsidP="00E27A4F">
      <w:pPr>
        <w:pStyle w:val="NormalWeb"/>
        <w:spacing w:beforeAutospacing="0" w:afterAutospacing="0" w:line="360" w:lineRule="auto"/>
        <w:ind w:left="60" w:right="60" w:firstLine="1020"/>
        <w:jc w:val="both"/>
      </w:pPr>
      <w:r>
        <w:rPr>
          <w:rFonts w:ascii="Arial" w:hAnsi="Arial" w:cs="Arial"/>
          <w:b/>
          <w:bCs/>
          <w:color w:val="000000"/>
        </w:rPr>
        <w:t>I.- </w:t>
      </w:r>
      <w:r>
        <w:rPr>
          <w:rFonts w:ascii="Arial" w:hAnsi="Arial" w:cs="Arial"/>
          <w:color w:val="000000"/>
        </w:rPr>
        <w:t>A fs. 864/875, la Señora Jueza a cargo del Juzgado de Primera Instancia en lo Contencioso Administrativo Nº 1 del Departamento Judicial</w:t>
      </w:r>
      <w:r>
        <w:rPr>
          <w:rFonts w:ascii="Arial" w:hAnsi="Arial" w:cs="Arial"/>
          <w:b/>
          <w:bCs/>
          <w:color w:val="000000"/>
        </w:rPr>
        <w:t> </w:t>
      </w:r>
      <w:r>
        <w:rPr>
          <w:rFonts w:ascii="Arial" w:hAnsi="Arial" w:cs="Arial"/>
          <w:color w:val="000000"/>
        </w:rPr>
        <w:t xml:space="preserve">de Morón, resolvió: </w:t>
      </w:r>
      <w:r>
        <w:rPr>
          <w:rFonts w:ascii="Arial" w:hAnsi="Arial" w:cs="Arial"/>
          <w:i/>
          <w:iCs/>
          <w:color w:val="000000"/>
        </w:rPr>
        <w:t xml:space="preserve">“1.- En base a las consideraciones del presente decisorio, se RECHAZA la demanda interpuesta (cfr. Proemio y arts. 116, 119, 125 y 132 de la Ordenanza Fiscal N° 4508/00 y 2° de la Ordenanza de Habilitaciones N° 1462/00, ambas del Municipio de </w:t>
      </w:r>
      <w:proofErr w:type="spellStart"/>
      <w:r>
        <w:rPr>
          <w:rFonts w:ascii="Arial" w:hAnsi="Arial" w:cs="Arial"/>
          <w:i/>
          <w:iCs/>
          <w:color w:val="000000"/>
        </w:rPr>
        <w:t>Hurlingham</w:t>
      </w:r>
      <w:proofErr w:type="spellEnd"/>
      <w:r>
        <w:rPr>
          <w:rFonts w:ascii="Arial" w:hAnsi="Arial" w:cs="Arial"/>
          <w:i/>
          <w:iCs/>
          <w:color w:val="000000"/>
        </w:rPr>
        <w:t xml:space="preserve">). 2.- En cuanto al orden de las costas se imponen a la parte actora vencida (51 inc.1 del C.C.A. </w:t>
      </w:r>
      <w:proofErr w:type="spellStart"/>
      <w:r>
        <w:rPr>
          <w:rFonts w:ascii="Arial" w:hAnsi="Arial" w:cs="Arial"/>
          <w:i/>
          <w:iCs/>
          <w:color w:val="000000"/>
        </w:rPr>
        <w:t>modif</w:t>
      </w:r>
      <w:proofErr w:type="spellEnd"/>
      <w:r>
        <w:rPr>
          <w:rFonts w:ascii="Arial" w:hAnsi="Arial" w:cs="Arial"/>
          <w:i/>
          <w:iCs/>
          <w:color w:val="000000"/>
        </w:rPr>
        <w:t xml:space="preserve">. por ley 14437)” </w:t>
      </w:r>
      <w:r>
        <w:rPr>
          <w:rFonts w:ascii="Arial" w:hAnsi="Arial" w:cs="Arial"/>
          <w:color w:val="000000"/>
        </w:rPr>
        <w:t>-</w:t>
      </w:r>
    </w:p>
    <w:p w:rsidR="00E27A4F" w:rsidRDefault="00E27A4F" w:rsidP="00E27A4F">
      <w:pPr>
        <w:pStyle w:val="NormalWeb"/>
        <w:spacing w:beforeAutospacing="0" w:afterAutospacing="0" w:line="360" w:lineRule="auto"/>
        <w:ind w:left="60" w:right="60" w:firstLine="1020"/>
        <w:jc w:val="both"/>
      </w:pPr>
      <w:r>
        <w:rPr>
          <w:rFonts w:ascii="Arial" w:hAnsi="Arial" w:cs="Arial"/>
          <w:b/>
          <w:bCs/>
          <w:color w:val="000000"/>
        </w:rPr>
        <w:t>II.- </w:t>
      </w:r>
      <w:r>
        <w:rPr>
          <w:rFonts w:ascii="Arial" w:hAnsi="Arial" w:cs="Arial"/>
          <w:color w:val="000000"/>
        </w:rPr>
        <w:t>A fs. 890/902 la parte actora interpuso recurso de apelación contra la sentencia definitiva dictada en la causa.</w:t>
      </w:r>
    </w:p>
    <w:p w:rsidR="00E27A4F" w:rsidRDefault="00E27A4F" w:rsidP="00E27A4F">
      <w:pPr>
        <w:pStyle w:val="NormalWeb"/>
        <w:spacing w:beforeAutospacing="0" w:afterAutospacing="0" w:line="360" w:lineRule="auto"/>
        <w:ind w:left="60" w:right="60" w:firstLine="1020"/>
        <w:jc w:val="both"/>
      </w:pPr>
      <w:r>
        <w:rPr>
          <w:rFonts w:ascii="Arial" w:hAnsi="Arial" w:cs="Arial"/>
          <w:b/>
          <w:bCs/>
          <w:color w:val="000000"/>
        </w:rPr>
        <w:t>III.- </w:t>
      </w:r>
      <w:r>
        <w:rPr>
          <w:rFonts w:ascii="Arial" w:hAnsi="Arial" w:cs="Arial"/>
          <w:color w:val="000000"/>
        </w:rPr>
        <w:t>Elevados los autos al Tribunal, se dictó sentencia en los siguientes términos:</w:t>
      </w:r>
      <w:r>
        <w:rPr>
          <w:rFonts w:ascii="Arial" w:hAnsi="Arial" w:cs="Arial"/>
          <w:b/>
          <w:bCs/>
          <w:color w:val="000000"/>
        </w:rPr>
        <w:t xml:space="preserve"> “…</w:t>
      </w:r>
      <w:r>
        <w:rPr>
          <w:rFonts w:ascii="Arial" w:hAnsi="Arial" w:cs="Arial"/>
          <w:i/>
          <w:iCs/>
          <w:color w:val="000000"/>
          <w:shd w:val="clear" w:color="auto" w:fill="FFFFFF"/>
        </w:rPr>
        <w:t>Desestimar el recurso de apelación interpuesto por la parte actora y confirmar la sentencia de primera instancia en cuanto fue materia de agravio. 2º) Con costas de alzada a la parte actora en su condición de vencida (</w:t>
      </w:r>
      <w:proofErr w:type="spellStart"/>
      <w:r>
        <w:rPr>
          <w:rFonts w:ascii="Arial" w:hAnsi="Arial" w:cs="Arial"/>
          <w:i/>
          <w:iCs/>
          <w:color w:val="000000"/>
          <w:shd w:val="clear" w:color="auto" w:fill="FFFFFF"/>
        </w:rPr>
        <w:t>cfm</w:t>
      </w:r>
      <w:proofErr w:type="spellEnd"/>
      <w:r>
        <w:rPr>
          <w:rFonts w:ascii="Arial" w:hAnsi="Arial" w:cs="Arial"/>
          <w:i/>
          <w:iCs/>
          <w:color w:val="000000"/>
          <w:shd w:val="clear" w:color="auto" w:fill="FFFFFF"/>
        </w:rPr>
        <w:t xml:space="preserve">. art. 51 inc. 1 del CPCA, texto según ley 14.437). 3º) Vuelvan los autos al Acuerdo a fin de tratar lo pertinente a la regulación de honorarios (art. 31 </w:t>
      </w:r>
      <w:proofErr w:type="spellStart"/>
      <w:r>
        <w:rPr>
          <w:rFonts w:ascii="Arial" w:hAnsi="Arial" w:cs="Arial"/>
          <w:i/>
          <w:iCs/>
          <w:color w:val="000000"/>
          <w:shd w:val="clear" w:color="auto" w:fill="FFFFFF"/>
        </w:rPr>
        <w:t>Dec</w:t>
      </w:r>
      <w:proofErr w:type="spellEnd"/>
      <w:r>
        <w:rPr>
          <w:rFonts w:ascii="Arial" w:hAnsi="Arial" w:cs="Arial"/>
          <w:i/>
          <w:iCs/>
          <w:color w:val="000000"/>
          <w:shd w:val="clear" w:color="auto" w:fill="FFFFFF"/>
        </w:rPr>
        <w:t xml:space="preserve">. Ley 8904/77)”. </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Dicha sentencia fue suscripta por la Sra</w:t>
      </w:r>
      <w:r>
        <w:rPr>
          <w:rFonts w:ascii="Arial" w:hAnsi="Arial" w:cs="Arial"/>
          <w:b/>
          <w:bCs/>
          <w:color w:val="000000"/>
        </w:rPr>
        <w:t>.</w:t>
      </w:r>
      <w:r>
        <w:rPr>
          <w:rFonts w:ascii="Arial" w:hAnsi="Arial" w:cs="Arial"/>
          <w:color w:val="000000"/>
        </w:rPr>
        <w:t xml:space="preserve"> Jueza Ana María </w:t>
      </w:r>
      <w:proofErr w:type="spellStart"/>
      <w:r>
        <w:rPr>
          <w:rFonts w:ascii="Arial" w:hAnsi="Arial" w:cs="Arial"/>
          <w:color w:val="000000"/>
        </w:rPr>
        <w:t>Bezzi</w:t>
      </w:r>
      <w:proofErr w:type="spellEnd"/>
      <w:r>
        <w:rPr>
          <w:rFonts w:ascii="Arial" w:hAnsi="Arial" w:cs="Arial"/>
          <w:color w:val="000000"/>
        </w:rPr>
        <w:t xml:space="preserve"> y el Sr. Juez Hugo Jorge Echarri.</w:t>
      </w:r>
    </w:p>
    <w:p w:rsidR="00E27A4F" w:rsidRDefault="00E27A4F" w:rsidP="00E27A4F">
      <w:pPr>
        <w:pStyle w:val="NormalWeb"/>
        <w:spacing w:beforeAutospacing="0" w:afterAutospacing="0" w:line="360" w:lineRule="auto"/>
        <w:ind w:left="60" w:right="60" w:firstLine="1020"/>
        <w:jc w:val="both"/>
      </w:pPr>
      <w:r>
        <w:rPr>
          <w:rFonts w:ascii="Arial" w:hAnsi="Arial" w:cs="Arial"/>
          <w:b/>
          <w:bCs/>
          <w:color w:val="000000"/>
        </w:rPr>
        <w:t xml:space="preserve">IV.- </w:t>
      </w:r>
      <w:r>
        <w:rPr>
          <w:rFonts w:ascii="Arial" w:hAnsi="Arial" w:cs="Arial"/>
          <w:color w:val="000000"/>
        </w:rPr>
        <w:t>A fs. 985/994 la accionante interpuso recurso extraordinario de nulidad, el que fuera denegado por la Alzada.</w:t>
      </w:r>
    </w:p>
    <w:p w:rsidR="00E27A4F" w:rsidRDefault="00E27A4F" w:rsidP="00E27A4F">
      <w:pPr>
        <w:pStyle w:val="NormalWeb"/>
        <w:spacing w:beforeAutospacing="0" w:afterAutospacing="0" w:line="360" w:lineRule="auto"/>
        <w:ind w:left="60" w:right="60" w:firstLine="1020"/>
        <w:jc w:val="both"/>
      </w:pPr>
      <w:r>
        <w:rPr>
          <w:rFonts w:ascii="Arial" w:hAnsi="Arial" w:cs="Arial"/>
          <w:b/>
          <w:bCs/>
          <w:color w:val="000000"/>
        </w:rPr>
        <w:t>V.-</w:t>
      </w:r>
      <w:r>
        <w:rPr>
          <w:rFonts w:ascii="Arial" w:hAnsi="Arial" w:cs="Arial"/>
          <w:color w:val="000000"/>
        </w:rPr>
        <w:t xml:space="preserve"> A fs. 2016 la Suprema Corte de la Provincia de Buenos Aires admitió la queja planteada por la actora y declaró mal denegado el recurso extraordinario de nulidad.</w:t>
      </w:r>
    </w:p>
    <w:p w:rsidR="00E27A4F" w:rsidRDefault="00E27A4F" w:rsidP="00E27A4F">
      <w:pPr>
        <w:pStyle w:val="NormalWeb"/>
        <w:spacing w:beforeAutospacing="0" w:afterAutospacing="0" w:line="360" w:lineRule="auto"/>
        <w:ind w:left="60" w:right="60" w:firstLine="1020"/>
        <w:jc w:val="both"/>
      </w:pPr>
      <w:r>
        <w:rPr>
          <w:rFonts w:ascii="Arial" w:hAnsi="Arial" w:cs="Arial"/>
          <w:b/>
          <w:bCs/>
          <w:color w:val="000000"/>
        </w:rPr>
        <w:t>VI.-</w:t>
      </w:r>
      <w:r>
        <w:rPr>
          <w:rFonts w:ascii="Arial" w:hAnsi="Arial" w:cs="Arial"/>
          <w:color w:val="000000"/>
        </w:rPr>
        <w:t xml:space="preserve"> El 10 de julio de 2019, la SCBA resolvió </w:t>
      </w:r>
      <w:r>
        <w:rPr>
          <w:rFonts w:ascii="Arial" w:hAnsi="Arial" w:cs="Arial"/>
          <w:i/>
          <w:iCs/>
          <w:color w:val="000000"/>
        </w:rPr>
        <w:t>“…hace lugar al recurso extraordinario de nulidad interpuesto por la parte actora, se anula la sentencia recurrida y se devuelven los autos a la Cámara de Apelación en lo Contencioso Administrativo con asiento en la ciudad de San Martín para que, integrada como corresponda, dicte un nuevo pronunciamiento (arts. 296 y 298, CPCC). Las costas de esta instancia extraordinaria se imponen en el orden causado (conf. art. 298, in fine, a contrario sensu, CPCC; causa Ac. 64.422, "</w:t>
      </w:r>
      <w:proofErr w:type="spellStart"/>
      <w:r>
        <w:rPr>
          <w:rFonts w:ascii="Arial" w:hAnsi="Arial" w:cs="Arial"/>
          <w:i/>
          <w:iCs/>
          <w:color w:val="000000"/>
        </w:rPr>
        <w:t>Festa</w:t>
      </w:r>
      <w:proofErr w:type="spellEnd"/>
      <w:r>
        <w:rPr>
          <w:rFonts w:ascii="Arial" w:hAnsi="Arial" w:cs="Arial"/>
          <w:i/>
          <w:iCs/>
          <w:color w:val="000000"/>
        </w:rPr>
        <w:t xml:space="preserve">", </w:t>
      </w:r>
      <w:proofErr w:type="spellStart"/>
      <w:r>
        <w:rPr>
          <w:rFonts w:ascii="Arial" w:hAnsi="Arial" w:cs="Arial"/>
          <w:i/>
          <w:iCs/>
          <w:color w:val="000000"/>
        </w:rPr>
        <w:t>sent</w:t>
      </w:r>
      <w:proofErr w:type="spellEnd"/>
      <w:r>
        <w:rPr>
          <w:rFonts w:ascii="Arial" w:hAnsi="Arial" w:cs="Arial"/>
          <w:i/>
          <w:iCs/>
          <w:color w:val="000000"/>
        </w:rPr>
        <w:t>. de 28-IX-1999 y su aclaratoria de 22-XII-1999)”.</w:t>
      </w:r>
    </w:p>
    <w:p w:rsidR="00E27A4F" w:rsidRDefault="00E27A4F" w:rsidP="00E27A4F">
      <w:pPr>
        <w:pStyle w:val="NormalWeb"/>
        <w:spacing w:beforeAutospacing="0" w:afterAutospacing="0" w:line="360" w:lineRule="auto"/>
        <w:ind w:left="60" w:right="60" w:firstLine="1020"/>
        <w:jc w:val="both"/>
      </w:pPr>
      <w:r>
        <w:rPr>
          <w:rFonts w:ascii="Arial" w:hAnsi="Arial" w:cs="Arial"/>
          <w:b/>
          <w:bCs/>
          <w:color w:val="000000"/>
        </w:rPr>
        <w:t>VII</w:t>
      </w:r>
      <w:r>
        <w:rPr>
          <w:rFonts w:ascii="Arial" w:hAnsi="Arial" w:cs="Arial"/>
          <w:color w:val="000000"/>
        </w:rPr>
        <w:t xml:space="preserve">. El 5 de mayo del 2020 se hizo saber a las partes, de acuerdo al sorteo efectuado en la </w:t>
      </w:r>
      <w:proofErr w:type="spellStart"/>
      <w:r>
        <w:rPr>
          <w:rFonts w:ascii="Arial" w:hAnsi="Arial" w:cs="Arial"/>
          <w:color w:val="000000"/>
        </w:rPr>
        <w:t>Exc</w:t>
      </w:r>
      <w:proofErr w:type="spellEnd"/>
      <w:r>
        <w:rPr>
          <w:rFonts w:ascii="Arial" w:hAnsi="Arial" w:cs="Arial"/>
          <w:color w:val="000000"/>
        </w:rPr>
        <w:t xml:space="preserve">. Cámara en lo Civil y Comercial del Departamento Judicial General San Martín, que este Tribunal a efectos de dictar sentencia quedaría integrado con los Dres. Jorge Augusto </w:t>
      </w:r>
      <w:proofErr w:type="spellStart"/>
      <w:r>
        <w:rPr>
          <w:rFonts w:ascii="Arial" w:hAnsi="Arial" w:cs="Arial"/>
          <w:color w:val="000000"/>
        </w:rPr>
        <w:t>Saulquin</w:t>
      </w:r>
      <w:proofErr w:type="spellEnd"/>
      <w:r>
        <w:rPr>
          <w:rFonts w:ascii="Arial" w:hAnsi="Arial" w:cs="Arial"/>
          <w:color w:val="000000"/>
        </w:rPr>
        <w:t xml:space="preserve">, Carlos Ramón </w:t>
      </w:r>
      <w:proofErr w:type="spellStart"/>
      <w:r>
        <w:rPr>
          <w:rFonts w:ascii="Arial" w:hAnsi="Arial" w:cs="Arial"/>
          <w:color w:val="000000"/>
        </w:rPr>
        <w:t>Lami</w:t>
      </w:r>
      <w:proofErr w:type="spellEnd"/>
      <w:r>
        <w:rPr>
          <w:rFonts w:ascii="Arial" w:hAnsi="Arial" w:cs="Arial"/>
          <w:color w:val="000000"/>
        </w:rPr>
        <w:t xml:space="preserve"> y María Silvina Pérez.</w:t>
      </w:r>
    </w:p>
    <w:p w:rsidR="00E27A4F" w:rsidRDefault="00E27A4F" w:rsidP="00E27A4F">
      <w:pPr>
        <w:pStyle w:val="NormalWeb"/>
        <w:spacing w:beforeAutospacing="0" w:afterAutospacing="0" w:line="360" w:lineRule="auto"/>
        <w:ind w:left="60" w:right="60" w:firstLine="1020"/>
        <w:jc w:val="both"/>
      </w:pPr>
      <w:r>
        <w:rPr>
          <w:rFonts w:ascii="Arial" w:hAnsi="Arial" w:cs="Arial"/>
          <w:b/>
          <w:bCs/>
          <w:color w:val="000000"/>
        </w:rPr>
        <w:t>VIII.</w:t>
      </w:r>
      <w:r>
        <w:rPr>
          <w:rFonts w:ascii="Arial" w:hAnsi="Arial" w:cs="Arial"/>
          <w:color w:val="000000"/>
        </w:rPr>
        <w:t xml:space="preserve"> Habiéndose procedido a efectuar el respectivo sorteo de ley, se estableció el siguiente orden de votación: </w:t>
      </w:r>
      <w:proofErr w:type="spellStart"/>
      <w:r>
        <w:rPr>
          <w:rFonts w:ascii="Arial" w:hAnsi="Arial" w:cs="Arial"/>
          <w:color w:val="000000"/>
        </w:rPr>
        <w:t>Saulquin</w:t>
      </w:r>
      <w:proofErr w:type="spellEnd"/>
      <w:r>
        <w:rPr>
          <w:rFonts w:ascii="Arial" w:hAnsi="Arial" w:cs="Arial"/>
          <w:color w:val="000000"/>
        </w:rPr>
        <w:t xml:space="preserve">- </w:t>
      </w:r>
      <w:proofErr w:type="spellStart"/>
      <w:r>
        <w:rPr>
          <w:rFonts w:ascii="Arial" w:hAnsi="Arial" w:cs="Arial"/>
          <w:color w:val="000000"/>
        </w:rPr>
        <w:t>Lami</w:t>
      </w:r>
      <w:proofErr w:type="spellEnd"/>
      <w:r>
        <w:rPr>
          <w:rFonts w:ascii="Arial" w:hAnsi="Arial" w:cs="Arial"/>
          <w:color w:val="000000"/>
        </w:rPr>
        <w:t xml:space="preserve">- Pérez. </w:t>
      </w:r>
    </w:p>
    <w:p w:rsidR="00E27A4F" w:rsidRDefault="00E27A4F" w:rsidP="00E27A4F">
      <w:pPr>
        <w:pStyle w:val="NormalWeb"/>
        <w:spacing w:line="360" w:lineRule="auto"/>
        <w:jc w:val="both"/>
      </w:pPr>
      <w:r>
        <w:rPr>
          <w:rFonts w:ascii="Arial" w:hAnsi="Arial" w:cs="Arial"/>
          <w:color w:val="000000"/>
        </w:rPr>
        <w:tab/>
      </w:r>
      <w:r>
        <w:rPr>
          <w:rFonts w:ascii="Arial" w:hAnsi="Arial" w:cs="Arial"/>
          <w:color w:val="000000"/>
        </w:rPr>
        <w:tab/>
      </w:r>
      <w:r>
        <w:rPr>
          <w:rFonts w:ascii="Arial" w:hAnsi="Arial" w:cs="Arial"/>
          <w:shd w:val="clear" w:color="auto" w:fill="FFFFFF"/>
        </w:rPr>
        <w:t>Bajo tales condiciones, el Tribunal estableció la siguiente cuestión a decidir:</w:t>
      </w:r>
    </w:p>
    <w:p w:rsidR="00E27A4F" w:rsidRDefault="00E27A4F" w:rsidP="00E27A4F">
      <w:pPr>
        <w:pStyle w:val="NormalWeb"/>
        <w:spacing w:line="360" w:lineRule="auto"/>
        <w:ind w:firstLine="1120"/>
        <w:jc w:val="center"/>
      </w:pPr>
      <w:r>
        <w:rPr>
          <w:rFonts w:ascii="Arial" w:hAnsi="Arial" w:cs="Arial"/>
          <w:i/>
          <w:iCs/>
        </w:rPr>
        <w:t>¿Se ajusta a derecho la sentencia apelada?</w:t>
      </w:r>
    </w:p>
    <w:p w:rsidR="00E27A4F" w:rsidRDefault="00E27A4F" w:rsidP="00E27A4F">
      <w:pPr>
        <w:pStyle w:val="NormalWeb"/>
        <w:spacing w:line="360" w:lineRule="auto"/>
        <w:ind w:firstLine="1120"/>
        <w:jc w:val="center"/>
      </w:pPr>
      <w:r>
        <w:rPr>
          <w:rFonts w:ascii="Arial" w:hAnsi="Arial" w:cs="Arial"/>
          <w:b/>
          <w:bCs/>
          <w:u w:val="single"/>
        </w:rPr>
        <w:t xml:space="preserve">V O T A C I </w:t>
      </w:r>
      <w:proofErr w:type="spellStart"/>
      <w:r>
        <w:rPr>
          <w:rFonts w:ascii="Arial" w:hAnsi="Arial" w:cs="Arial"/>
          <w:b/>
          <w:bCs/>
          <w:u w:val="single"/>
        </w:rPr>
        <w:t>Ó</w:t>
      </w:r>
      <w:proofErr w:type="spellEnd"/>
      <w:r>
        <w:rPr>
          <w:rFonts w:ascii="Arial" w:hAnsi="Arial" w:cs="Arial"/>
          <w:b/>
          <w:bCs/>
          <w:u w:val="single"/>
        </w:rPr>
        <w:t xml:space="preserve"> N</w:t>
      </w:r>
    </w:p>
    <w:p w:rsidR="00E27A4F" w:rsidRDefault="00E27A4F" w:rsidP="00E27A4F">
      <w:pPr>
        <w:pStyle w:val="NormalWeb"/>
        <w:spacing w:line="360" w:lineRule="auto"/>
        <w:ind w:firstLine="1120"/>
        <w:jc w:val="both"/>
      </w:pPr>
      <w:r>
        <w:rPr>
          <w:rFonts w:ascii="Arial" w:hAnsi="Arial" w:cs="Arial"/>
          <w:b/>
          <w:bCs/>
          <w:u w:val="single"/>
        </w:rPr>
        <w:t xml:space="preserve">A la cuestión planteada, el Sr. Juez Jorge Augusto </w:t>
      </w:r>
      <w:proofErr w:type="spellStart"/>
      <w:r>
        <w:rPr>
          <w:rFonts w:ascii="Arial" w:hAnsi="Arial" w:cs="Arial"/>
          <w:b/>
          <w:bCs/>
          <w:u w:val="single"/>
        </w:rPr>
        <w:t>Saulquin</w:t>
      </w:r>
      <w:proofErr w:type="spellEnd"/>
      <w:r>
        <w:rPr>
          <w:rFonts w:ascii="Arial" w:hAnsi="Arial" w:cs="Arial"/>
          <w:b/>
          <w:bCs/>
          <w:u w:val="single"/>
        </w:rPr>
        <w:t xml:space="preserve"> dijo:</w:t>
      </w:r>
    </w:p>
    <w:p w:rsidR="00E27A4F" w:rsidRDefault="00E27A4F" w:rsidP="00E27A4F">
      <w:pPr>
        <w:pStyle w:val="NormalWeb"/>
        <w:spacing w:line="360" w:lineRule="auto"/>
        <w:ind w:firstLine="1120"/>
        <w:jc w:val="both"/>
      </w:pPr>
      <w:r>
        <w:rPr>
          <w:rFonts w:ascii="Arial" w:hAnsi="Arial" w:cs="Arial"/>
          <w:b/>
          <w:bCs/>
          <w:color w:val="000000"/>
        </w:rPr>
        <w:t>1º)</w:t>
      </w:r>
      <w:r>
        <w:rPr>
          <w:rFonts w:ascii="Arial" w:hAnsi="Arial" w:cs="Arial"/>
          <w:color w:val="000000"/>
        </w:rPr>
        <w:t xml:space="preserve"> En primer lugar, corresponde recordar que la Sra. Jueza de grado rechazó la demanda por considerar acreditada la configuración del hecho imponible de la Tasa por Habilitación, en tanto tuvo por probada la existencia de una oficina en donde la actora ejerce su actividad comercial en el Partido de </w:t>
      </w:r>
      <w:proofErr w:type="spellStart"/>
      <w:r>
        <w:rPr>
          <w:rFonts w:ascii="Arial" w:hAnsi="Arial" w:cs="Arial"/>
          <w:color w:val="000000"/>
        </w:rPr>
        <w:t>Hurlingham</w:t>
      </w:r>
      <w:proofErr w:type="spellEnd"/>
      <w:r>
        <w:rPr>
          <w:rFonts w:ascii="Arial" w:hAnsi="Arial" w:cs="Arial"/>
          <w:color w:val="000000"/>
        </w:rPr>
        <w:t xml:space="preserve"> -dentro del hipermercado Carrefour de Villa </w:t>
      </w:r>
      <w:proofErr w:type="spellStart"/>
      <w:r>
        <w:rPr>
          <w:rFonts w:ascii="Arial" w:hAnsi="Arial" w:cs="Arial"/>
          <w:color w:val="000000"/>
        </w:rPr>
        <w:t>Tesei</w:t>
      </w:r>
      <w:proofErr w:type="spellEnd"/>
      <w:r>
        <w:rPr>
          <w:rFonts w:ascii="Arial" w:hAnsi="Arial" w:cs="Arial"/>
          <w:color w:val="000000"/>
        </w:rPr>
        <w:t>-, por el que la firma actora solicitó habilitación y resulta, por ende, sujeto pasivo de la tasa bajo análisis.</w:t>
      </w:r>
    </w:p>
    <w:p w:rsidR="00E27A4F" w:rsidRDefault="00E27A4F" w:rsidP="00E27A4F">
      <w:pPr>
        <w:pStyle w:val="NormalWeb"/>
        <w:spacing w:line="360" w:lineRule="auto"/>
        <w:ind w:firstLine="1120"/>
        <w:jc w:val="both"/>
      </w:pPr>
      <w:r>
        <w:rPr>
          <w:rFonts w:ascii="Arial" w:hAnsi="Arial" w:cs="Arial"/>
          <w:color w:val="000000"/>
        </w:rPr>
        <w:t>Seguidamente consideró la procedencia de la Tasa por Inspección de Seguridad e Higiene y tuvo en cuenta la tipificación del hecho imponible que efectúa la norma aplicable, y la naturaleza de la entidad accionante como las actividades que desarrolla, para concluir que surgía con meridiana claridad que resultaba sujeto pasivo del gravamen en cuestión.</w:t>
      </w:r>
    </w:p>
    <w:p w:rsidR="00E27A4F" w:rsidRDefault="00E27A4F" w:rsidP="00E27A4F">
      <w:pPr>
        <w:pStyle w:val="NormalWeb"/>
        <w:spacing w:beforeAutospacing="0" w:afterAutospacing="0" w:line="360" w:lineRule="auto"/>
        <w:ind w:left="60" w:right="60" w:firstLine="1020"/>
        <w:jc w:val="both"/>
      </w:pPr>
      <w:r>
        <w:rPr>
          <w:rFonts w:ascii="Arial" w:hAnsi="Arial" w:cs="Arial"/>
          <w:b/>
          <w:bCs/>
          <w:color w:val="000000"/>
        </w:rPr>
        <w:t>2°)</w:t>
      </w:r>
      <w:r>
        <w:rPr>
          <w:rFonts w:ascii="Arial" w:hAnsi="Arial" w:cs="Arial"/>
          <w:color w:val="000000"/>
        </w:rPr>
        <w:t xml:space="preserve"> La actora se agravió contra dicha sentencia y –sustancialmente- sostuvo que había existido una apreciación arbitraria y sesgada de las pruebas rendidas durante el trámite de la causa. </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Señaló principalmente que el Banco Central de la República Argentina, indicó que la actora no poseía sucursales y que operaba solo en su Casa Central ubicada en Cuyo 3367, Martínez, Provincia de Buenos Aires.</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En esa situación, la actora afirmó la inexistencia de sustento territorial que posibilite el cobro de la Tasa por Inspección de Seguridad e Higiene y la Tasa por Habilitación.</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Sostuvo que el Banco Financiero S.A. carece de un establecimiento, sitio o local destinado a ejercer el comercio, la industria o prestar servicios, en jurisdicción de la Municipalidad.</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 xml:space="preserve">Destacó que Banco Financiero S.A no tiene presencia o espacio físico en el Carrefour de Villa </w:t>
      </w:r>
      <w:proofErr w:type="spellStart"/>
      <w:r>
        <w:rPr>
          <w:rFonts w:ascii="Arial" w:hAnsi="Arial" w:cs="Arial"/>
          <w:color w:val="000000"/>
        </w:rPr>
        <w:t>Tesei</w:t>
      </w:r>
      <w:proofErr w:type="spellEnd"/>
      <w:r>
        <w:rPr>
          <w:rFonts w:ascii="Arial" w:hAnsi="Arial" w:cs="Arial"/>
          <w:color w:val="000000"/>
        </w:rPr>
        <w:t>; y que el stand le pertenece a INC.S.A. (Carrefour), que es contribuyente tanto de la Tasa por habilitación como de la TISH.</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Manifestó que la sentencia en crisis convalidaba una afectación indebida del derecho de propiedad, por falta de configuración del hecho imponible, tanto para la Tasa por Habilitación como por la Tasa por Inspección de Seguridad e Higiene.</w:t>
      </w:r>
    </w:p>
    <w:p w:rsidR="00E27A4F" w:rsidRDefault="00E27A4F" w:rsidP="00E27A4F">
      <w:pPr>
        <w:pStyle w:val="NormalWeb"/>
        <w:spacing w:beforeAutospacing="0" w:afterAutospacing="0" w:line="360" w:lineRule="auto"/>
        <w:ind w:left="60" w:right="60" w:firstLine="1020"/>
        <w:jc w:val="both"/>
      </w:pPr>
      <w:r>
        <w:rPr>
          <w:rFonts w:ascii="Arial" w:hAnsi="Arial" w:cs="Arial"/>
          <w:b/>
          <w:bCs/>
          <w:color w:val="000000"/>
        </w:rPr>
        <w:t xml:space="preserve">3°) </w:t>
      </w:r>
      <w:r>
        <w:rPr>
          <w:rFonts w:ascii="Arial" w:hAnsi="Arial" w:cs="Arial"/>
          <w:color w:val="000000"/>
        </w:rPr>
        <w:t>Previo a dilucidar la procedencia o no de los agravios, corresponde recordar que, en principio, las potestades tributarias de los municipios tienen reconocimiento de antigua data de acuerdo a la importancia que la Constitución Nacional otorgó a los mismos a partir de la redacción del artículo 5 CN (1853/1860).</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A su vez, dicha potestad –que hace a la posibilidad de existencia de dicho ente político y administrativo– fue reconocida en las propias constituciones provinciales sancionadas en consonancia con el artículo 5 de la Constitución Nacional mencionado.</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Esta potestad se ha visto robustecida a partir del reconocimiento de la autonomía municipal, primero en el orden provincial –v.g. constituciones de las provincias de Chubut, Rio Negro, Santiago del Estero, Córdoba, La Rioja, entre otras– y luego en el orden federal, a partir de la reforma constitucional nacional del año 1994 –cfr. art. 123 CN.</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Asimismo, se ha entendido que el ordenamiento constitucional y legal de la Provincia de Buenos Aires confiere a los municipios suficientes potestades para disciplinar variados aspectos -incluido el tributario- referentes al desenvolvimiento de actividades comerciales, industriales y de servicios, siempre en el interés general de la comunidad local. De conformidad a la Constitución provincial, integra el ámbito competencial de los municipios el dictado de "... ordenanzas y reglamentos" (art. 192 inc. 6º, Const. cit.) a quienes, por cierto, también se les han conferido potestades para crear tributos (arts. 192 inc. 5º y 193 inc. 2º, Const. cit.). A su vez, la tutela de la seguridad e higiene de los establecimientos comporta un asunto de primordial </w:t>
      </w:r>
      <w:r>
        <w:rPr>
          <w:rFonts w:ascii="Arial" w:hAnsi="Arial" w:cs="Arial"/>
          <w:i/>
          <w:iCs/>
          <w:color w:val="000000"/>
        </w:rPr>
        <w:t>interés local</w:t>
      </w:r>
      <w:r>
        <w:rPr>
          <w:rFonts w:ascii="Arial" w:hAnsi="Arial" w:cs="Arial"/>
          <w:color w:val="000000"/>
        </w:rPr>
        <w:t xml:space="preserve">, cuya consecución, apropiada regulación y gestión incumbe a las municipalidades (arts. 190 y 191, Const. </w:t>
      </w:r>
      <w:proofErr w:type="spellStart"/>
      <w:r>
        <w:rPr>
          <w:rFonts w:ascii="Arial" w:hAnsi="Arial" w:cs="Arial"/>
          <w:color w:val="000000"/>
        </w:rPr>
        <w:t>pcial</w:t>
      </w:r>
      <w:proofErr w:type="spellEnd"/>
      <w:r>
        <w:rPr>
          <w:rFonts w:ascii="Arial" w:hAnsi="Arial" w:cs="Arial"/>
          <w:color w:val="000000"/>
        </w:rPr>
        <w:t xml:space="preserve">.) (cfr. </w:t>
      </w:r>
      <w:proofErr w:type="spellStart"/>
      <w:proofErr w:type="gramStart"/>
      <w:r>
        <w:rPr>
          <w:rFonts w:ascii="Arial" w:hAnsi="Arial" w:cs="Arial"/>
          <w:color w:val="000000"/>
        </w:rPr>
        <w:t>arg</w:t>
      </w:r>
      <w:proofErr w:type="spellEnd"/>
      <w:proofErr w:type="gramEnd"/>
      <w:r>
        <w:rPr>
          <w:rFonts w:ascii="Arial" w:hAnsi="Arial" w:cs="Arial"/>
          <w:color w:val="000000"/>
        </w:rPr>
        <w:t>. SCBA, LP B 61397 S 08/07/2008, Juez SORIA (OP) </w:t>
      </w:r>
      <w:r>
        <w:rPr>
          <w:rFonts w:ascii="Arial" w:hAnsi="Arial" w:cs="Arial"/>
          <w:i/>
          <w:iCs/>
          <w:color w:val="000000"/>
        </w:rPr>
        <w:t>in re: “Sociedad Española de Socorros Mutuos de Tres Arroyos c/Municipalidad de Tres Arroyos s/Demanda contencioso administrativa</w:t>
      </w:r>
      <w:r>
        <w:rPr>
          <w:rFonts w:ascii="Arial" w:hAnsi="Arial" w:cs="Arial"/>
          <w:color w:val="000000"/>
        </w:rPr>
        <w:t xml:space="preserve">” y SCBA causa B. 66.819, del 15 de agosto de 2.012, Juez </w:t>
      </w:r>
      <w:proofErr w:type="spellStart"/>
      <w:r>
        <w:rPr>
          <w:rFonts w:ascii="Arial" w:hAnsi="Arial" w:cs="Arial"/>
          <w:color w:val="000000"/>
        </w:rPr>
        <w:t>Kogan</w:t>
      </w:r>
      <w:proofErr w:type="spellEnd"/>
      <w:r>
        <w:rPr>
          <w:rFonts w:ascii="Arial" w:hAnsi="Arial" w:cs="Arial"/>
          <w:color w:val="000000"/>
        </w:rPr>
        <w:t xml:space="preserve"> (SD) </w:t>
      </w:r>
      <w:r>
        <w:rPr>
          <w:rFonts w:ascii="Arial" w:hAnsi="Arial" w:cs="Arial"/>
          <w:i/>
          <w:iCs/>
          <w:color w:val="000000"/>
        </w:rPr>
        <w:t>in re</w:t>
      </w:r>
      <w:r>
        <w:rPr>
          <w:rFonts w:ascii="Arial" w:hAnsi="Arial" w:cs="Arial"/>
          <w:color w:val="000000"/>
        </w:rPr>
        <w:t> "</w:t>
      </w:r>
      <w:r>
        <w:rPr>
          <w:rFonts w:ascii="Arial" w:hAnsi="Arial" w:cs="Arial"/>
          <w:i/>
          <w:iCs/>
          <w:color w:val="000000"/>
        </w:rPr>
        <w:t>Telefónica Móviles Argentina S.A. c/Municipalidad de Moreno s/Demanda contencioso administrativa</w:t>
      </w:r>
      <w:r>
        <w:rPr>
          <w:rFonts w:ascii="Arial" w:hAnsi="Arial" w:cs="Arial"/>
          <w:color w:val="000000"/>
        </w:rPr>
        <w:t>”).</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Finalmente, resulta pertinente recordar que la Ley Orgánica de las Municipalidades (</w:t>
      </w:r>
      <w:proofErr w:type="spellStart"/>
      <w:r>
        <w:rPr>
          <w:rFonts w:ascii="Arial" w:hAnsi="Arial" w:cs="Arial"/>
          <w:color w:val="000000"/>
        </w:rPr>
        <w:t>dec</w:t>
      </w:r>
      <w:proofErr w:type="spellEnd"/>
      <w:r>
        <w:rPr>
          <w:rFonts w:ascii="Arial" w:hAnsi="Arial" w:cs="Arial"/>
          <w:color w:val="000000"/>
        </w:rPr>
        <w:t xml:space="preserve">. ley 6769/1958 con múltiples reformas) ha conferido a las comunas la potestad de crear tributos, mediante cláusulas, que al decir de la Suprema Corte, no revisten el carácter de enunciados taxativos (L.O.M., arts. 226 y 227; "Acuerdos y Sentencias", 1957-V-116; 1958-III-337; 350 y 360; 1966-II-15; 1972-II-659; 1977-I-1131, I. 1992, "Aguas Argentinas", </w:t>
      </w:r>
      <w:proofErr w:type="spellStart"/>
      <w:r>
        <w:rPr>
          <w:rFonts w:ascii="Arial" w:hAnsi="Arial" w:cs="Arial"/>
          <w:color w:val="000000"/>
        </w:rPr>
        <w:t>sent</w:t>
      </w:r>
      <w:proofErr w:type="spellEnd"/>
      <w:r>
        <w:rPr>
          <w:rFonts w:ascii="Arial" w:hAnsi="Arial" w:cs="Arial"/>
          <w:color w:val="000000"/>
        </w:rPr>
        <w:t>. del 7-III-2005).</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 xml:space="preserve">También es bueno recordar que la CSJN ha caracterizado a las tasas como una categoría tributaria derivada del poder de imperio del Estado, que si bien posee una estructura jurídica análoga al impuesto, se diferencia de éste por el presupuesto de hecho adoptado por la ley, que consiste en el desarrollo de una actividad estatal que atañe al obligado y que, por ello, desde el momento en que el Estado organiza el servicio y lo pone a disposición del particular, éste no puede rehusar su pago </w:t>
      </w:r>
      <w:proofErr w:type="spellStart"/>
      <w:r>
        <w:rPr>
          <w:rFonts w:ascii="Arial" w:hAnsi="Arial" w:cs="Arial"/>
          <w:color w:val="000000"/>
        </w:rPr>
        <w:t>aún</w:t>
      </w:r>
      <w:proofErr w:type="spellEnd"/>
      <w:r>
        <w:rPr>
          <w:rFonts w:ascii="Arial" w:hAnsi="Arial" w:cs="Arial"/>
          <w:color w:val="000000"/>
        </w:rPr>
        <w:t xml:space="preserve"> cuando no haga uso de aquél, o no tenga interés en él, ya que el servicio tiene en miras el interés general (Fallos: 251:50, 222; 312:1575; 323:3770; 326:4251, 332:1503, entre otros).</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Asimismo, tiene dicho la CSJN que constituye un requisito fundamental de validez de las tasas que el cobro de dicho tributo debe corresponder siempre a la concreta, efectiva e individualizada prestación de un servicio referido a algo no menos individualizado (bien o acto) del contribuyente (Fallos: 234:663; 236:22; 251:222; 259:413; 312:1575; 325:1370; 329:792 y M.1893, L.XLII, "Mexicana de Aviación S.A. de CV c/Estado Nacional", sentencia del 26 de agosto de 2008, 332:1503, entre otros).</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 xml:space="preserve">Se ha expresado que la tasa es toda prestación obligatoria, en dinero o en especie, que el Estado en ejercicio de su poder de imperio, exige en virtud de ley por un servicio o actividad estatal que se particulariza o individualiza en el obligado al pago (cfr. García </w:t>
      </w:r>
      <w:proofErr w:type="spellStart"/>
      <w:r>
        <w:rPr>
          <w:rFonts w:ascii="Arial" w:hAnsi="Arial" w:cs="Arial"/>
          <w:color w:val="000000"/>
        </w:rPr>
        <w:t>Vizcaino</w:t>
      </w:r>
      <w:proofErr w:type="spellEnd"/>
      <w:r>
        <w:rPr>
          <w:rFonts w:ascii="Arial" w:hAnsi="Arial" w:cs="Arial"/>
          <w:color w:val="000000"/>
        </w:rPr>
        <w:t xml:space="preserve">, Catalina, “Derecho Tributario”, Tomo I, Ed. </w:t>
      </w:r>
      <w:proofErr w:type="spellStart"/>
      <w:r>
        <w:rPr>
          <w:rFonts w:ascii="Arial" w:hAnsi="Arial" w:cs="Arial"/>
          <w:color w:val="000000"/>
        </w:rPr>
        <w:t>Depalma</w:t>
      </w:r>
      <w:proofErr w:type="spellEnd"/>
      <w:r>
        <w:rPr>
          <w:rFonts w:ascii="Arial" w:hAnsi="Arial" w:cs="Arial"/>
          <w:color w:val="000000"/>
        </w:rPr>
        <w:t xml:space="preserve">, 2° ed., </w:t>
      </w:r>
      <w:proofErr w:type="spellStart"/>
      <w:r>
        <w:rPr>
          <w:rFonts w:ascii="Arial" w:hAnsi="Arial" w:cs="Arial"/>
          <w:color w:val="000000"/>
        </w:rPr>
        <w:t>Buanos</w:t>
      </w:r>
      <w:proofErr w:type="spellEnd"/>
      <w:r>
        <w:rPr>
          <w:rFonts w:ascii="Arial" w:hAnsi="Arial" w:cs="Arial"/>
          <w:color w:val="000000"/>
        </w:rPr>
        <w:t xml:space="preserve"> Aires 1999, pág. 99 y ss.). Tal servicio tiene carácter de divisible por estar determinado y concretado en relación con los individuos a quienes atañe, pues la prestación que da origen a la tasa debe estar particularizada en el sujeto pasivo (cfr. </w:t>
      </w:r>
      <w:proofErr w:type="spellStart"/>
      <w:r>
        <w:rPr>
          <w:rFonts w:ascii="Arial" w:hAnsi="Arial" w:cs="Arial"/>
          <w:color w:val="000000"/>
        </w:rPr>
        <w:t>Jarach</w:t>
      </w:r>
      <w:proofErr w:type="spellEnd"/>
      <w:r>
        <w:rPr>
          <w:rFonts w:ascii="Arial" w:hAnsi="Arial" w:cs="Arial"/>
          <w:color w:val="000000"/>
        </w:rPr>
        <w:t xml:space="preserve">, </w:t>
      </w:r>
      <w:proofErr w:type="spellStart"/>
      <w:r>
        <w:rPr>
          <w:rFonts w:ascii="Arial" w:hAnsi="Arial" w:cs="Arial"/>
          <w:color w:val="000000"/>
        </w:rPr>
        <w:t>Dino</w:t>
      </w:r>
      <w:proofErr w:type="spellEnd"/>
      <w:r>
        <w:rPr>
          <w:rFonts w:ascii="Arial" w:hAnsi="Arial" w:cs="Arial"/>
          <w:color w:val="000000"/>
        </w:rPr>
        <w:t xml:space="preserve"> “Finanzas públicas y Derecho Tributario”, Ed. Cangallo, Buenos Aires 1993, </w:t>
      </w:r>
      <w:proofErr w:type="spellStart"/>
      <w:r>
        <w:rPr>
          <w:rFonts w:ascii="Arial" w:hAnsi="Arial" w:cs="Arial"/>
          <w:color w:val="000000"/>
        </w:rPr>
        <w:t>pág</w:t>
      </w:r>
      <w:proofErr w:type="spellEnd"/>
      <w:r>
        <w:rPr>
          <w:rFonts w:ascii="Arial" w:hAnsi="Arial" w:cs="Arial"/>
          <w:color w:val="000000"/>
        </w:rPr>
        <w:t xml:space="preserve"> 234 y ss.; Pérez Royo, Fernando, “Derecho Financiero y Tributario”, Parte General, Ed. </w:t>
      </w:r>
      <w:proofErr w:type="spellStart"/>
      <w:r>
        <w:rPr>
          <w:rFonts w:ascii="Arial" w:hAnsi="Arial" w:cs="Arial"/>
          <w:color w:val="000000"/>
        </w:rPr>
        <w:t>Civitas</w:t>
      </w:r>
      <w:proofErr w:type="spellEnd"/>
      <w:r>
        <w:rPr>
          <w:rFonts w:ascii="Arial" w:hAnsi="Arial" w:cs="Arial"/>
          <w:color w:val="000000"/>
        </w:rPr>
        <w:t xml:space="preserve">, Madrid 2000, </w:t>
      </w:r>
      <w:proofErr w:type="spellStart"/>
      <w:r>
        <w:rPr>
          <w:rFonts w:ascii="Arial" w:hAnsi="Arial" w:cs="Arial"/>
          <w:color w:val="000000"/>
        </w:rPr>
        <w:t>pág</w:t>
      </w:r>
      <w:proofErr w:type="spellEnd"/>
      <w:r>
        <w:rPr>
          <w:rFonts w:ascii="Arial" w:hAnsi="Arial" w:cs="Arial"/>
          <w:color w:val="000000"/>
        </w:rPr>
        <w:t xml:space="preserve"> 113).</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 xml:space="preserve">La tasa es una contraprestación pecuniaria establecida de modo coactivo por un servicio brindado por la Administración y su presupuesto de hecho consiste en una situación que determina o se relaciona –necesariamente- con el desenvolvimiento de una actividad del ente estatal direccionada en forma individualizada al contribuyente (cfr. </w:t>
      </w:r>
      <w:proofErr w:type="spellStart"/>
      <w:r>
        <w:rPr>
          <w:rFonts w:ascii="Arial" w:hAnsi="Arial" w:cs="Arial"/>
          <w:color w:val="000000"/>
        </w:rPr>
        <w:t>Spisso</w:t>
      </w:r>
      <w:proofErr w:type="spellEnd"/>
      <w:r>
        <w:rPr>
          <w:rFonts w:ascii="Arial" w:hAnsi="Arial" w:cs="Arial"/>
          <w:color w:val="000000"/>
        </w:rPr>
        <w:t xml:space="preserve">, Rodolfo, Naturaleza Jurídica de las Tasas Municipales, en AA.VV., Derecho Tributario municipal”, Ed. </w:t>
      </w:r>
      <w:r w:rsidRPr="00E27A4F">
        <w:rPr>
          <w:rFonts w:ascii="Arial" w:hAnsi="Arial" w:cs="Arial"/>
          <w:color w:val="000000"/>
          <w:lang w:val="en-US"/>
        </w:rPr>
        <w:t xml:space="preserve">Ad-Hoc, </w:t>
      </w:r>
      <w:proofErr w:type="spellStart"/>
      <w:r w:rsidRPr="00E27A4F">
        <w:rPr>
          <w:rFonts w:ascii="Arial" w:hAnsi="Arial" w:cs="Arial"/>
          <w:color w:val="000000"/>
          <w:lang w:val="en-US"/>
        </w:rPr>
        <w:t>Bs</w:t>
      </w:r>
      <w:proofErr w:type="spellEnd"/>
      <w:r w:rsidRPr="00E27A4F">
        <w:rPr>
          <w:rFonts w:ascii="Arial" w:hAnsi="Arial" w:cs="Arial"/>
          <w:color w:val="000000"/>
          <w:lang w:val="en-US"/>
        </w:rPr>
        <w:t xml:space="preserve">. As., </w:t>
      </w:r>
      <w:proofErr w:type="spellStart"/>
      <w:r w:rsidRPr="00E27A4F">
        <w:rPr>
          <w:rFonts w:ascii="Arial" w:hAnsi="Arial" w:cs="Arial"/>
          <w:color w:val="000000"/>
          <w:lang w:val="en-US"/>
        </w:rPr>
        <w:t>pág</w:t>
      </w:r>
      <w:proofErr w:type="spellEnd"/>
      <w:r w:rsidRPr="00E27A4F">
        <w:rPr>
          <w:rFonts w:ascii="Arial" w:hAnsi="Arial" w:cs="Arial"/>
          <w:color w:val="000000"/>
          <w:lang w:val="en-US"/>
        </w:rPr>
        <w:t xml:space="preserve">. 193; </w:t>
      </w:r>
      <w:proofErr w:type="spellStart"/>
      <w:r w:rsidRPr="00E27A4F">
        <w:rPr>
          <w:rFonts w:ascii="Arial" w:hAnsi="Arial" w:cs="Arial"/>
          <w:color w:val="000000"/>
          <w:lang w:val="en-US"/>
        </w:rPr>
        <w:t>doct</w:t>
      </w:r>
      <w:proofErr w:type="spellEnd"/>
      <w:r w:rsidRPr="00E27A4F">
        <w:rPr>
          <w:rFonts w:ascii="Arial" w:hAnsi="Arial" w:cs="Arial"/>
          <w:color w:val="000000"/>
          <w:lang w:val="en-US"/>
        </w:rPr>
        <w:t>. S.C.B.A causa I. 1588 “</w:t>
      </w:r>
      <w:proofErr w:type="spellStart"/>
      <w:r w:rsidRPr="00E27A4F">
        <w:rPr>
          <w:rFonts w:ascii="Arial" w:hAnsi="Arial" w:cs="Arial"/>
          <w:color w:val="000000"/>
          <w:lang w:val="en-US"/>
        </w:rPr>
        <w:t>Amacri</w:t>
      </w:r>
      <w:proofErr w:type="spellEnd"/>
      <w:r w:rsidRPr="00E27A4F">
        <w:rPr>
          <w:rFonts w:ascii="Arial" w:hAnsi="Arial" w:cs="Arial"/>
          <w:color w:val="000000"/>
          <w:lang w:val="en-US"/>
        </w:rPr>
        <w:t xml:space="preserve">”, sent. </w:t>
      </w:r>
      <w:proofErr w:type="gramStart"/>
      <w:r w:rsidRPr="00E27A4F">
        <w:rPr>
          <w:rFonts w:ascii="Arial" w:hAnsi="Arial" w:cs="Arial"/>
          <w:color w:val="000000"/>
          <w:lang w:val="en-US"/>
        </w:rPr>
        <w:t>de</w:t>
      </w:r>
      <w:proofErr w:type="gramEnd"/>
      <w:r w:rsidRPr="00E27A4F">
        <w:rPr>
          <w:rFonts w:ascii="Arial" w:hAnsi="Arial" w:cs="Arial"/>
          <w:color w:val="000000"/>
          <w:lang w:val="en-US"/>
        </w:rPr>
        <w:t xml:space="preserve"> 7-III-2001). </w:t>
      </w:r>
      <w:r>
        <w:rPr>
          <w:rFonts w:ascii="Arial" w:hAnsi="Arial" w:cs="Arial"/>
          <w:color w:val="000000"/>
        </w:rPr>
        <w:t xml:space="preserve">Y es justamente la presencia de esa actividad administrativa referida al sujeto pasivo la que diferencia a la tasa de las restantes especies de tributos (cfr. </w:t>
      </w:r>
      <w:proofErr w:type="spellStart"/>
      <w:r>
        <w:rPr>
          <w:rFonts w:ascii="Arial" w:hAnsi="Arial" w:cs="Arial"/>
          <w:color w:val="000000"/>
        </w:rPr>
        <w:t>doct</w:t>
      </w:r>
      <w:proofErr w:type="spellEnd"/>
      <w:r>
        <w:rPr>
          <w:rFonts w:ascii="Arial" w:hAnsi="Arial" w:cs="Arial"/>
          <w:color w:val="000000"/>
        </w:rPr>
        <w:t>. C.S.J.N. Fallos 312:1575).</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Por su parte, la SCBA, sobre este aspecto mantiene un criterio, que en alguna medida se diferencia del precedentemente reseñado.</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 xml:space="preserve">Ello, en tanto que, reiteradamente, ha considerado que el presupuesto de hecho adoptado por la ley para poder exigir la tasa consiste en la prestación efectiva o potencial de una actividad de interés público que afecte al obligado (cfr. SCBA B 51937 S 28-11-1995, Juez Rodríguez Villar (SD) “Nobleza </w:t>
      </w:r>
      <w:proofErr w:type="spellStart"/>
      <w:r>
        <w:rPr>
          <w:rFonts w:ascii="Arial" w:hAnsi="Arial" w:cs="Arial"/>
          <w:color w:val="000000"/>
        </w:rPr>
        <w:t>Piccardo</w:t>
      </w:r>
      <w:proofErr w:type="spellEnd"/>
      <w:r>
        <w:rPr>
          <w:rFonts w:ascii="Arial" w:hAnsi="Arial" w:cs="Arial"/>
          <w:color w:val="000000"/>
        </w:rPr>
        <w:t xml:space="preserve"> S.A.I.C. y F. c/ Municipalidad de General San Martín s/ Demanda contencioso administrativa” DJBA 150, 97 - ED 166, 592 - </w:t>
      </w:r>
      <w:proofErr w:type="spellStart"/>
      <w:r>
        <w:rPr>
          <w:rFonts w:ascii="Arial" w:hAnsi="Arial" w:cs="Arial"/>
          <w:color w:val="000000"/>
        </w:rPr>
        <w:t>AyS</w:t>
      </w:r>
      <w:proofErr w:type="spellEnd"/>
      <w:r>
        <w:rPr>
          <w:rFonts w:ascii="Arial" w:hAnsi="Arial" w:cs="Arial"/>
          <w:color w:val="000000"/>
        </w:rPr>
        <w:t xml:space="preserve"> 1995 IV, 518I 1541 S 29-12-1998, Juez </w:t>
      </w:r>
      <w:proofErr w:type="spellStart"/>
      <w:r>
        <w:rPr>
          <w:rFonts w:ascii="Arial" w:hAnsi="Arial" w:cs="Arial"/>
          <w:color w:val="000000"/>
        </w:rPr>
        <w:t>Hitters</w:t>
      </w:r>
      <w:proofErr w:type="spellEnd"/>
      <w:r>
        <w:rPr>
          <w:rFonts w:ascii="Arial" w:hAnsi="Arial" w:cs="Arial"/>
          <w:color w:val="000000"/>
        </w:rPr>
        <w:t xml:space="preserve"> (SD) Bernal de Palacio, María Julia c/ Municipalidad de </w:t>
      </w:r>
      <w:proofErr w:type="spellStart"/>
      <w:r>
        <w:rPr>
          <w:rFonts w:ascii="Arial" w:hAnsi="Arial" w:cs="Arial"/>
          <w:color w:val="000000"/>
        </w:rPr>
        <w:t>Rauch</w:t>
      </w:r>
      <w:proofErr w:type="spellEnd"/>
      <w:r>
        <w:rPr>
          <w:rFonts w:ascii="Arial" w:hAnsi="Arial" w:cs="Arial"/>
          <w:color w:val="000000"/>
        </w:rPr>
        <w:t xml:space="preserve"> s/ Inconstitucionalidad ordenanza impositiva 1991 (promulgada por decreto 454/91) I 1588 S 7-3-2001 </w:t>
      </w:r>
      <w:proofErr w:type="spellStart"/>
      <w:r>
        <w:rPr>
          <w:rFonts w:ascii="Arial" w:hAnsi="Arial" w:cs="Arial"/>
          <w:color w:val="000000"/>
        </w:rPr>
        <w:t>Amacri</w:t>
      </w:r>
      <w:proofErr w:type="spellEnd"/>
      <w:r>
        <w:rPr>
          <w:rFonts w:ascii="Arial" w:hAnsi="Arial" w:cs="Arial"/>
          <w:color w:val="000000"/>
        </w:rPr>
        <w:t xml:space="preserve"> S.A. c/ Municipalidad de Ayacucho s/ Inconstitucionalidad Ordenanza 1416/1992; SCBA, B 56454 S 17-12-2003, Juez </w:t>
      </w:r>
      <w:proofErr w:type="spellStart"/>
      <w:r>
        <w:rPr>
          <w:rFonts w:ascii="Arial" w:hAnsi="Arial" w:cs="Arial"/>
          <w:color w:val="000000"/>
        </w:rPr>
        <w:t>Roncoroni</w:t>
      </w:r>
      <w:proofErr w:type="spellEnd"/>
      <w:r>
        <w:rPr>
          <w:rFonts w:ascii="Arial" w:hAnsi="Arial" w:cs="Arial"/>
          <w:color w:val="000000"/>
        </w:rPr>
        <w:t xml:space="preserve"> (SD),</w:t>
      </w:r>
      <w:r>
        <w:rPr>
          <w:rFonts w:ascii="Arial" w:hAnsi="Arial" w:cs="Arial"/>
          <w:b/>
          <w:bCs/>
          <w:color w:val="000000"/>
        </w:rPr>
        <w:t xml:space="preserve"> </w:t>
      </w:r>
      <w:proofErr w:type="spellStart"/>
      <w:r>
        <w:rPr>
          <w:rFonts w:ascii="Arial" w:hAnsi="Arial" w:cs="Arial"/>
          <w:color w:val="000000"/>
          <w:shd w:val="clear" w:color="auto" w:fill="FFFFFF"/>
        </w:rPr>
        <w:t>Pecom</w:t>
      </w:r>
      <w:proofErr w:type="spellEnd"/>
      <w:r>
        <w:rPr>
          <w:rFonts w:ascii="Arial" w:hAnsi="Arial" w:cs="Arial"/>
          <w:color w:val="000000"/>
          <w:shd w:val="clear" w:color="auto" w:fill="FFFFFF"/>
        </w:rPr>
        <w:t xml:space="preserve"> Energía SA c/ Municipalidad de La Matanza s/ Demanda contencioso administrativa” causa “</w:t>
      </w:r>
      <w:proofErr w:type="spellStart"/>
      <w:r>
        <w:rPr>
          <w:rFonts w:ascii="Arial" w:hAnsi="Arial" w:cs="Arial"/>
          <w:color w:val="000000"/>
          <w:shd w:val="clear" w:color="auto" w:fill="FFFFFF"/>
        </w:rPr>
        <w:t>Striebeck</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sent</w:t>
      </w:r>
      <w:proofErr w:type="spellEnd"/>
      <w:r>
        <w:rPr>
          <w:rFonts w:ascii="Arial" w:hAnsi="Arial" w:cs="Arial"/>
          <w:color w:val="000000"/>
          <w:shd w:val="clear" w:color="auto" w:fill="FFFFFF"/>
        </w:rPr>
        <w:t xml:space="preserve">. del 03/12/2014; I 3505, “Conciencia Ciudadana de Campana ONG”, </w:t>
      </w:r>
      <w:proofErr w:type="spellStart"/>
      <w:r>
        <w:rPr>
          <w:rFonts w:ascii="Arial" w:hAnsi="Arial" w:cs="Arial"/>
          <w:color w:val="000000"/>
          <w:shd w:val="clear" w:color="auto" w:fill="FFFFFF"/>
        </w:rPr>
        <w:t>sent</w:t>
      </w:r>
      <w:proofErr w:type="spellEnd"/>
      <w:r>
        <w:rPr>
          <w:rFonts w:ascii="Arial" w:hAnsi="Arial" w:cs="Arial"/>
          <w:color w:val="000000"/>
          <w:shd w:val="clear" w:color="auto" w:fill="FFFFFF"/>
        </w:rPr>
        <w:t>. del 04/05/2016</w:t>
      </w:r>
      <w:r>
        <w:rPr>
          <w:rFonts w:ascii="Arial" w:hAnsi="Arial" w:cs="Arial"/>
          <w:b/>
          <w:bCs/>
          <w:color w:val="000000"/>
        </w:rPr>
        <w:t>).</w:t>
      </w:r>
    </w:p>
    <w:p w:rsidR="00E27A4F" w:rsidRDefault="00E27A4F" w:rsidP="00E27A4F">
      <w:pPr>
        <w:pStyle w:val="NormalWeb"/>
        <w:spacing w:beforeAutospacing="0" w:afterAutospacing="0" w:line="360" w:lineRule="auto"/>
        <w:ind w:left="60" w:right="60" w:firstLine="1020"/>
        <w:jc w:val="both"/>
      </w:pPr>
      <w:r>
        <w:rPr>
          <w:rFonts w:ascii="Arial" w:hAnsi="Arial" w:cs="Arial"/>
          <w:color w:val="000000"/>
        </w:rPr>
        <w:t xml:space="preserve">Respecto a las tasas que aquí se analizan la SCBA tiene que </w:t>
      </w:r>
      <w:r>
        <w:rPr>
          <w:rFonts w:ascii="Arial" w:hAnsi="Arial" w:cs="Arial"/>
          <w:i/>
          <w:iCs/>
          <w:color w:val="000000"/>
        </w:rPr>
        <w:t>“…la facultad de los municipios bonaerenses para crear y exigir el pago de una tasa de seguridad e higiene o de habilitación de comercios e industrias, a la luz de lo dispuesto en la Constitución de la Provincia y la Ley Orgánica de las Municipalidades, resulta indudable”</w:t>
      </w:r>
      <w:r>
        <w:rPr>
          <w:rFonts w:ascii="Arial" w:hAnsi="Arial" w:cs="Arial"/>
          <w:color w:val="000000"/>
        </w:rPr>
        <w:t xml:space="preserve"> (B. 63.520, "Telefónica Móviles Argentina S.A. contra Municipalidad de Moreno. Demanda contencioso administrativa" </w:t>
      </w:r>
      <w:proofErr w:type="spellStart"/>
      <w:r>
        <w:rPr>
          <w:rFonts w:ascii="Arial" w:hAnsi="Arial" w:cs="Arial"/>
          <w:color w:val="000000"/>
        </w:rPr>
        <w:t>sent</w:t>
      </w:r>
      <w:proofErr w:type="spellEnd"/>
      <w:r>
        <w:rPr>
          <w:rFonts w:ascii="Arial" w:hAnsi="Arial" w:cs="Arial"/>
          <w:color w:val="000000"/>
        </w:rPr>
        <w:t xml:space="preserve">. </w:t>
      </w:r>
      <w:proofErr w:type="gramStart"/>
      <w:r>
        <w:rPr>
          <w:rFonts w:ascii="Arial" w:hAnsi="Arial" w:cs="Arial"/>
          <w:color w:val="000000"/>
        </w:rPr>
        <w:t>del</w:t>
      </w:r>
      <w:proofErr w:type="gramEnd"/>
      <w:r>
        <w:rPr>
          <w:rFonts w:ascii="Arial" w:hAnsi="Arial" w:cs="Arial"/>
          <w:color w:val="000000"/>
        </w:rPr>
        <w:t xml:space="preserve"> 9/5/2018).</w:t>
      </w:r>
    </w:p>
    <w:p w:rsidR="00E27A4F" w:rsidRDefault="00E27A4F" w:rsidP="00E27A4F">
      <w:pPr>
        <w:pStyle w:val="NormalWeb"/>
        <w:spacing w:beforeAutospacing="0" w:afterAutospacing="0" w:line="360" w:lineRule="auto"/>
        <w:ind w:left="60" w:right="60" w:firstLine="620"/>
        <w:jc w:val="both"/>
      </w:pPr>
      <w:r>
        <w:rPr>
          <w:rFonts w:ascii="Arial" w:hAnsi="Arial" w:cs="Arial"/>
          <w:b/>
          <w:bCs/>
          <w:color w:val="000000"/>
          <w:shd w:val="clear" w:color="auto" w:fill="FFFFFF"/>
        </w:rPr>
        <w:tab/>
        <w:t>4º)</w:t>
      </w:r>
      <w:r>
        <w:rPr>
          <w:rFonts w:ascii="Arial" w:hAnsi="Arial" w:cs="Arial"/>
          <w:color w:val="000000"/>
          <w:shd w:val="clear" w:color="auto" w:fill="FFFFFF"/>
        </w:rPr>
        <w:t xml:space="preserve"> Sentado ello, corresponde señalar que en la presente causa gira en torno a establecer si resulta legítima la pretensión de la Comuna al considerar configurado los hechos imponibles previstos por los artículos 116 y 132 de la Ordenanza Fiscal N° 4.508, y a partir de ello exigir el pago de las tasas por habilitación de comercios e industrias y por inspección de seguridad e higiene. </w:t>
      </w:r>
    </w:p>
    <w:p w:rsidR="00E27A4F" w:rsidRDefault="00E27A4F" w:rsidP="00E27A4F">
      <w:pPr>
        <w:pStyle w:val="NormalWeb"/>
        <w:spacing w:beforeAutospacing="0" w:afterAutospacing="0" w:line="360" w:lineRule="auto"/>
        <w:ind w:left="60" w:right="60"/>
        <w:jc w:val="both"/>
      </w:pPr>
      <w:r>
        <w:rPr>
          <w:rFonts w:ascii="Arial" w:hAnsi="Arial" w:cs="Arial"/>
          <w:color w:val="000000"/>
          <w:shd w:val="clear" w:color="auto" w:fill="FFFFFF"/>
        </w:rPr>
        <w:tab/>
        <w:t>Ello, ante lo afirmado por la actora en su demanda y en los agravios aquí en estudio en cuanto sostiene que no resulta ser sujeto pasible de los mencionados tributos Municipales.</w:t>
      </w:r>
    </w:p>
    <w:p w:rsidR="00E27A4F" w:rsidRDefault="00E27A4F" w:rsidP="00E27A4F">
      <w:pPr>
        <w:pStyle w:val="NormalWeb"/>
        <w:spacing w:beforeAutospacing="0" w:afterAutospacing="0" w:line="360" w:lineRule="auto"/>
        <w:ind w:left="60" w:right="60" w:firstLine="620"/>
        <w:jc w:val="both"/>
      </w:pPr>
      <w:r>
        <w:rPr>
          <w:rFonts w:ascii="Arial" w:hAnsi="Arial" w:cs="Arial"/>
          <w:b/>
          <w:bCs/>
          <w:color w:val="000000"/>
          <w:shd w:val="clear" w:color="auto" w:fill="FFFFFF"/>
        </w:rPr>
        <w:tab/>
        <w:t>5º)</w:t>
      </w:r>
      <w:r>
        <w:rPr>
          <w:rFonts w:ascii="Arial" w:hAnsi="Arial" w:cs="Arial"/>
          <w:color w:val="000000"/>
          <w:shd w:val="clear" w:color="auto" w:fill="FFFFFF"/>
        </w:rPr>
        <w:t xml:space="preserve"> En ese marco de situación, por cuestiones metodológicas, corresponde abordar en primer término los agravios relativos contra </w:t>
      </w:r>
      <w:r>
        <w:rPr>
          <w:rFonts w:ascii="Arial" w:hAnsi="Arial" w:cs="Arial"/>
          <w:b/>
          <w:bCs/>
          <w:color w:val="000000"/>
          <w:shd w:val="clear" w:color="auto" w:fill="FFFFFF"/>
        </w:rPr>
        <w:t xml:space="preserve">la tasa por habilitación de comercios e industrias. </w:t>
      </w:r>
    </w:p>
    <w:p w:rsidR="00E27A4F" w:rsidRDefault="00E27A4F" w:rsidP="00E27A4F">
      <w:pPr>
        <w:pStyle w:val="NormalWeb"/>
        <w:spacing w:beforeAutospacing="0" w:afterAutospacing="0" w:line="360" w:lineRule="auto"/>
        <w:ind w:left="60" w:right="60"/>
        <w:jc w:val="both"/>
      </w:pPr>
      <w:r>
        <w:rPr>
          <w:rFonts w:ascii="Arial" w:hAnsi="Arial" w:cs="Arial"/>
          <w:color w:val="000000"/>
          <w:shd w:val="clear" w:color="auto" w:fill="FFFFFF"/>
        </w:rPr>
        <w:tab/>
        <w:t xml:space="preserve">5.1) Para ello, corresponde en primer lugar establecer el marco normativo aplicable al caso. </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La Ordenanza Fiscal N° 4508, que se encontraba vigente al momento del hecho situación -que no resulta ser controvertida por las partes-, en el Capítulo III referido a "De la Tasa por Habilitación de Comercios e Industrias" establece en el art. 116 que "…por los servicios de inspección dirigidos a verificar el cumplimiento de los requisitos exigibles para la habilitación de locales, establecimientos u oficinas destinadas a comercios, industrias y actividades asimilables a tales, </w:t>
      </w:r>
      <w:proofErr w:type="spellStart"/>
      <w:r>
        <w:rPr>
          <w:rFonts w:ascii="Arial" w:hAnsi="Arial" w:cs="Arial"/>
          <w:color w:val="000000"/>
          <w:shd w:val="clear" w:color="auto" w:fill="FFFFFF"/>
        </w:rPr>
        <w:t>aún</w:t>
      </w:r>
      <w:proofErr w:type="spellEnd"/>
      <w:r>
        <w:rPr>
          <w:rFonts w:ascii="Arial" w:hAnsi="Arial" w:cs="Arial"/>
          <w:color w:val="000000"/>
          <w:shd w:val="clear" w:color="auto" w:fill="FFFFFF"/>
        </w:rPr>
        <w:t xml:space="preserve"> cuando se traten de servicios públicos, se abonará la Tasa que a tal efecto se establezca en la Ordenanza Impositiva Anual". </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Por su parte, el art. 119 establece que "…son contribuyentes (de la tasa de habilitación de comercios e industrias) los solicitantes del servicio y/o los titulares de las actividades comprendidas por el art. 116 de esta Ordenanza"; disponiendo el art. 121 que "…Los contribuyentes presentarán una declaración jurada que contendrá los valores del activo imponible y abonarán, en el mismo acto, el importe que corresponda. Asimismo deberán acompañar los siguientes documentos: a) Inventario de bienes, indicando el costo de origen de los mismos. b) Los comprobantes que determinaren las reglamentaciones vigentes. c) Fotocopia autenticada del título de la ocupación del local o los locales a habilitar debidamente sellado, en el caso de no ser los propietarios del o los mismos".</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A su vez el art. 123 de la citada Ordenanza dispone que : " En todos los casos el pedido de habilitación deberá interponerse previamente a la iniciación de las actividades de que se trate", fijando el art. 125 lo siguiente: " Comprobada que fuere la existencia o funcionamiento de locales, oficinas o demás establecimientos enunciados en este capítulo sin la correspondiente habilitación y/o transferencia, ni sus solicitudes interpuestas, o con éstas denegadas anteriormente, se procederá a percibir los gravámenes con más los recargos, multas e intereses que correspondan por los años no prescriptos conforme lo determinado en la presente ordenanza ...".</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rPr>
        <w:t xml:space="preserve">Finalmente el artículo 2° de la Ordenanza sobre el régimen de Habilitaciones Comerciales N° 1462/2000 establece que : "Se encuentran comprendidos en el presente régimen, y se definirán como "establecimientos" todo sitio o local destinado a ejercer el comercio, la industria o prestar servicios, </w:t>
      </w:r>
      <w:proofErr w:type="spellStart"/>
      <w:r>
        <w:rPr>
          <w:rFonts w:ascii="Arial" w:hAnsi="Arial" w:cs="Arial"/>
          <w:color w:val="000000"/>
        </w:rPr>
        <w:t>incluído</w:t>
      </w:r>
      <w:proofErr w:type="spellEnd"/>
      <w:r>
        <w:rPr>
          <w:rFonts w:ascii="Arial" w:hAnsi="Arial" w:cs="Arial"/>
          <w:color w:val="000000"/>
        </w:rPr>
        <w:t xml:space="preserve"> los públicos como así también a todo aquel que se encuentre comprendido en los Capítulos de la Tasa por Habilitación de Comercios e Industrias y de la tasa por Inspección de Seguridad e Higiene de la Ordenanza General Impositiva vigente".</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rPr>
        <w:t xml:space="preserve">5.2) Por otro lado, y tal como lo efectuara la </w:t>
      </w:r>
      <w:r>
        <w:rPr>
          <w:rFonts w:ascii="Arial" w:hAnsi="Arial" w:cs="Arial"/>
          <w:i/>
          <w:iCs/>
          <w:color w:val="000000"/>
        </w:rPr>
        <w:t>a quo</w:t>
      </w:r>
      <w:r>
        <w:rPr>
          <w:rFonts w:ascii="Arial" w:hAnsi="Arial" w:cs="Arial"/>
          <w:color w:val="000000"/>
        </w:rPr>
        <w:t xml:space="preserve">, entiendo que corresponde reseñar las constancias útiles que surgen de los expedientes sobre el cual </w:t>
      </w:r>
      <w:r>
        <w:rPr>
          <w:rFonts w:ascii="Arial" w:hAnsi="Arial" w:cs="Arial"/>
        </w:rPr>
        <w:t>versó el procedimiento de Habilitación (constancias que se encuentran agregadas en formato al sistema). Así, en lo que importa para la resolución del pleito, surge que:</w:t>
      </w:r>
    </w:p>
    <w:p w:rsidR="00E27A4F" w:rsidRDefault="00E27A4F" w:rsidP="00E27A4F">
      <w:pPr>
        <w:pStyle w:val="NormalWeb"/>
        <w:spacing w:beforeAutospacing="0" w:afterAutospacing="0" w:line="360" w:lineRule="auto"/>
        <w:ind w:left="60" w:right="60" w:firstLine="620"/>
        <w:jc w:val="both"/>
      </w:pPr>
      <w:r>
        <w:rPr>
          <w:rFonts w:ascii="Arial" w:hAnsi="Arial" w:cs="Arial"/>
          <w:b/>
          <w:bCs/>
          <w:color w:val="000000"/>
          <w:shd w:val="clear" w:color="auto" w:fill="FFFFFF"/>
        </w:rPr>
        <w:t>i) Expediente administrativo N° 4133-2005-0001784-0.</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a) A fs. 297 obra solicitud de habilitación N° 120/05 peticionada por la firma Carrefour Argentina SA de los rubros anexos de "revelado fotográfico y servicio financiero", en el local comercial sito en la Avda. Vergara N° 910 de la localidad de Villa </w:t>
      </w:r>
      <w:proofErr w:type="spellStart"/>
      <w:r>
        <w:rPr>
          <w:rFonts w:ascii="Arial" w:hAnsi="Arial" w:cs="Arial"/>
          <w:color w:val="000000"/>
          <w:shd w:val="clear" w:color="auto" w:fill="FFFFFF"/>
        </w:rPr>
        <w:t>Tesei</w:t>
      </w:r>
      <w:proofErr w:type="spellEnd"/>
      <w:r>
        <w:rPr>
          <w:rFonts w:ascii="Arial" w:hAnsi="Arial" w:cs="Arial"/>
          <w:color w:val="000000"/>
          <w:shd w:val="clear" w:color="auto" w:fill="FFFFFF"/>
        </w:rPr>
        <w:t xml:space="preserve">, Partido de </w:t>
      </w:r>
      <w:proofErr w:type="spellStart"/>
      <w:r>
        <w:rPr>
          <w:rFonts w:ascii="Arial" w:hAnsi="Arial" w:cs="Arial"/>
          <w:color w:val="000000"/>
          <w:shd w:val="clear" w:color="auto" w:fill="FFFFFF"/>
        </w:rPr>
        <w:t>Hurlingham</w:t>
      </w:r>
      <w:proofErr w:type="spellEnd"/>
      <w:r>
        <w:rPr>
          <w:rFonts w:ascii="Arial" w:hAnsi="Arial" w:cs="Arial"/>
          <w:color w:val="000000"/>
          <w:shd w:val="clear" w:color="auto" w:fill="FFFFFF"/>
        </w:rPr>
        <w:t xml:space="preserve"> en fecha 20/05/2005, adjuntándose documentación a tal efecto: plano de local comercial con indicación de la ubicación de los anexos a incorporar, copias de constancias de pagos de tasas por servicios generales, comprobante de pago de urbanístico, copia de identificación de inscripción ante la AFIP, copia de constancias de inscripción, modificaciones e incorporaciones de nuevas </w:t>
      </w:r>
      <w:proofErr w:type="spellStart"/>
      <w:r>
        <w:rPr>
          <w:rFonts w:ascii="Arial" w:hAnsi="Arial" w:cs="Arial"/>
          <w:color w:val="000000"/>
          <w:shd w:val="clear" w:color="auto" w:fill="FFFFFF"/>
        </w:rPr>
        <w:t>jurisidicciones</w:t>
      </w:r>
      <w:proofErr w:type="spellEnd"/>
      <w:r>
        <w:rPr>
          <w:rFonts w:ascii="Arial" w:hAnsi="Arial" w:cs="Arial"/>
          <w:color w:val="000000"/>
          <w:shd w:val="clear" w:color="auto" w:fill="FFFFFF"/>
        </w:rPr>
        <w:t xml:space="preserve"> al Convenio Multilateral, copia de poder de administración y disposición y de escrituras de reordenamiento de estatuto social y de compraventa del inmueble sito en la Avda. Gdor. Vergara.</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b) A fs. 382 obra cédula de notificación remitida a la firma Carrefour intimándola a acreditar con la documentación pertinente la fecha de inicio de actividades de los rubros cuya anexión solicita, la que fuera notificada en fecha 12/10/2005.</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c) A fs. 386 se liquida la Tasa por Habilitación de Comercio e Industria, respecto del rubro a habilitar de "Servicio Financiero" en el local comercial de la Avda. Vergara 1910 de Villa </w:t>
      </w:r>
      <w:proofErr w:type="spellStart"/>
      <w:r>
        <w:rPr>
          <w:rFonts w:ascii="Arial" w:hAnsi="Arial" w:cs="Arial"/>
          <w:color w:val="000000"/>
          <w:shd w:val="clear" w:color="auto" w:fill="FFFFFF"/>
        </w:rPr>
        <w:t>Tesei</w:t>
      </w:r>
      <w:proofErr w:type="spellEnd"/>
      <w:r>
        <w:rPr>
          <w:rFonts w:ascii="Arial" w:hAnsi="Arial" w:cs="Arial"/>
          <w:color w:val="000000"/>
          <w:shd w:val="clear" w:color="auto" w:fill="FFFFFF"/>
        </w:rPr>
        <w:t xml:space="preserve">, determinándose que la superficie del comercio a habilitar es de 38,80 </w:t>
      </w:r>
      <w:proofErr w:type="spellStart"/>
      <w:r>
        <w:rPr>
          <w:rFonts w:ascii="Arial" w:hAnsi="Arial" w:cs="Arial"/>
          <w:color w:val="000000"/>
          <w:shd w:val="clear" w:color="auto" w:fill="FFFFFF"/>
        </w:rPr>
        <w:t>mts</w:t>
      </w:r>
      <w:proofErr w:type="spellEnd"/>
      <w:r>
        <w:rPr>
          <w:rFonts w:ascii="Arial" w:hAnsi="Arial" w:cs="Arial"/>
          <w:color w:val="000000"/>
          <w:shd w:val="clear" w:color="auto" w:fill="FFFFFF"/>
        </w:rPr>
        <w:t xml:space="preserve">. </w:t>
      </w:r>
      <w:proofErr w:type="gramStart"/>
      <w:r>
        <w:rPr>
          <w:rFonts w:ascii="Arial" w:hAnsi="Arial" w:cs="Arial"/>
          <w:color w:val="000000"/>
          <w:shd w:val="clear" w:color="auto" w:fill="FFFFFF"/>
        </w:rPr>
        <w:t>cuadrados</w:t>
      </w:r>
      <w:proofErr w:type="gramEnd"/>
      <w:r>
        <w:rPr>
          <w:rFonts w:ascii="Arial" w:hAnsi="Arial" w:cs="Arial"/>
          <w:color w:val="000000"/>
          <w:shd w:val="clear" w:color="auto" w:fill="FFFFFF"/>
        </w:rPr>
        <w:t>, fijándose la suma de $ 28.093,75, encontrándose notificada de la intimación a abonar dicha suma mediante cédula que luce a fs. 387 de fecha 24/01/2006.</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d) A fs. 388 mediante Nota de fecha 15/03/2006 la firma Carrefour Argentina SA informa a la Municipalidad de </w:t>
      </w:r>
      <w:proofErr w:type="spellStart"/>
      <w:r>
        <w:rPr>
          <w:rFonts w:ascii="Arial" w:hAnsi="Arial" w:cs="Arial"/>
          <w:color w:val="000000"/>
          <w:shd w:val="clear" w:color="auto" w:fill="FFFFFF"/>
        </w:rPr>
        <w:t>Hurlingham</w:t>
      </w:r>
      <w:proofErr w:type="spellEnd"/>
      <w:r>
        <w:rPr>
          <w:rFonts w:ascii="Arial" w:hAnsi="Arial" w:cs="Arial"/>
          <w:color w:val="000000"/>
          <w:shd w:val="clear" w:color="auto" w:fill="FFFFFF"/>
        </w:rPr>
        <w:t xml:space="preserve"> que con respecto al expediente de referencia deberá la misma dirigirse a la empresa Banco de Servicios Financieros S.A. sita en la calle Cuyo 3367 de la localidad de Martinez, Partido de San Isidro. </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e) A fs. 390 se intima al Banco de Servicios Financieros S.A. a que tramite en el término de 48 </w:t>
      </w:r>
      <w:proofErr w:type="spellStart"/>
      <w:r>
        <w:rPr>
          <w:rFonts w:ascii="Arial" w:hAnsi="Arial" w:cs="Arial"/>
          <w:color w:val="000000"/>
          <w:shd w:val="clear" w:color="auto" w:fill="FFFFFF"/>
        </w:rPr>
        <w:t>hs</w:t>
      </w:r>
      <w:proofErr w:type="spellEnd"/>
      <w:r>
        <w:rPr>
          <w:rFonts w:ascii="Arial" w:hAnsi="Arial" w:cs="Arial"/>
          <w:color w:val="000000"/>
          <w:shd w:val="clear" w:color="auto" w:fill="FFFFFF"/>
        </w:rPr>
        <w:t>. la habilitación correspondiente- cédula del 25/04/2006-.</w:t>
      </w:r>
    </w:p>
    <w:p w:rsidR="00E27A4F" w:rsidRDefault="00E27A4F" w:rsidP="00E27A4F">
      <w:pPr>
        <w:pStyle w:val="NormalWeb"/>
        <w:spacing w:beforeAutospacing="0" w:afterAutospacing="0" w:line="360" w:lineRule="auto"/>
        <w:ind w:left="60" w:right="60" w:firstLine="620"/>
        <w:jc w:val="both"/>
      </w:pPr>
      <w:r>
        <w:rPr>
          <w:rFonts w:ascii="Arial" w:hAnsi="Arial" w:cs="Arial"/>
          <w:b/>
          <w:bCs/>
          <w:color w:val="000000"/>
          <w:shd w:val="clear" w:color="auto" w:fill="FFFFFF"/>
        </w:rPr>
        <w:t>ii) Expediente administrativo N° 4133-2006-0001758-0.</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a) A fs. 411 obra Solicitud de Habilitación presentada en fecha 18/05/2006 por el Banco de Servicios Financieros SA solicitando el rubro "Oficina de Gestión Financiera para créditos de consumo" en el domicilio comercial de Avda. Vergara N° 1910/90 y 2002 de la localidad de Villa </w:t>
      </w:r>
      <w:proofErr w:type="spellStart"/>
      <w:r>
        <w:rPr>
          <w:rFonts w:ascii="Arial" w:hAnsi="Arial" w:cs="Arial"/>
          <w:color w:val="000000"/>
          <w:shd w:val="clear" w:color="auto" w:fill="FFFFFF"/>
        </w:rPr>
        <w:t>Tesei</w:t>
      </w:r>
      <w:proofErr w:type="spellEnd"/>
      <w:r>
        <w:rPr>
          <w:rFonts w:ascii="Arial" w:hAnsi="Arial" w:cs="Arial"/>
          <w:color w:val="000000"/>
          <w:shd w:val="clear" w:color="auto" w:fill="FFFFFF"/>
        </w:rPr>
        <w:t>. </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b) A fs. 412/424 obra copia certificada de carta oferta, adjuntada en sede administrativa por la parte actora, de la cual surge que "el Banco (de Servicios Financieros SA) tiene por objeto la financiación de créditos para el consumo en los hipermercados Carrefour del país a través de sus productos financieros. ...CASA ( Carrefour SA) proveerá en </w:t>
      </w:r>
      <w:proofErr w:type="gramStart"/>
      <w:r>
        <w:rPr>
          <w:rFonts w:ascii="Arial" w:hAnsi="Arial" w:cs="Arial"/>
          <w:color w:val="000000"/>
          <w:shd w:val="clear" w:color="auto" w:fill="FFFFFF"/>
        </w:rPr>
        <w:t>..</w:t>
      </w:r>
      <w:proofErr w:type="gramEnd"/>
      <w:r>
        <w:rPr>
          <w:rFonts w:ascii="Arial" w:hAnsi="Arial" w:cs="Arial"/>
          <w:color w:val="000000"/>
          <w:shd w:val="clear" w:color="auto" w:fill="FFFFFF"/>
        </w:rPr>
        <w:t xml:space="preserve"> </w:t>
      </w:r>
      <w:proofErr w:type="gramStart"/>
      <w:r>
        <w:rPr>
          <w:rFonts w:ascii="Arial" w:hAnsi="Arial" w:cs="Arial"/>
          <w:color w:val="000000"/>
          <w:shd w:val="clear" w:color="auto" w:fill="FFFFFF"/>
        </w:rPr>
        <w:t>los</w:t>
      </w:r>
      <w:proofErr w:type="gramEnd"/>
      <w:r>
        <w:rPr>
          <w:rFonts w:ascii="Arial" w:hAnsi="Arial" w:cs="Arial"/>
          <w:color w:val="000000"/>
          <w:shd w:val="clear" w:color="auto" w:fill="FFFFFF"/>
        </w:rPr>
        <w:t xml:space="preserve"> hipermercados existentes en la Provincia de Buenos Aires ... un stand atendido por su propio personal donde se ofrecerá a los clientes de los hipermercados el otorgamiento de créditos para adquisición de productos en los hipermercados, bajo los términos y condiciones que fije el Banco. Por su parte, CASA se obliga a promocionar los productos financieros del Banco dentro de sus hipermercados de la </w:t>
      </w:r>
      <w:proofErr w:type="spellStart"/>
      <w:r>
        <w:rPr>
          <w:rFonts w:ascii="Arial" w:hAnsi="Arial" w:cs="Arial"/>
          <w:color w:val="000000"/>
          <w:shd w:val="clear" w:color="auto" w:fill="FFFFFF"/>
        </w:rPr>
        <w:t>Pcia</w:t>
      </w:r>
      <w:proofErr w:type="spellEnd"/>
      <w:r>
        <w:rPr>
          <w:rFonts w:ascii="Arial" w:hAnsi="Arial" w:cs="Arial"/>
          <w:color w:val="000000"/>
          <w:shd w:val="clear" w:color="auto" w:fill="FFFFFF"/>
        </w:rPr>
        <w:t xml:space="preserve">. </w:t>
      </w:r>
      <w:proofErr w:type="gramStart"/>
      <w:r>
        <w:rPr>
          <w:rFonts w:ascii="Arial" w:hAnsi="Arial" w:cs="Arial"/>
          <w:color w:val="000000"/>
          <w:shd w:val="clear" w:color="auto" w:fill="FFFFFF"/>
        </w:rPr>
        <w:t>de</w:t>
      </w:r>
      <w:proofErr w:type="gramEnd"/>
      <w:r>
        <w:rPr>
          <w:rFonts w:ascii="Arial" w:hAnsi="Arial" w:cs="Arial"/>
          <w:color w:val="000000"/>
          <w:shd w:val="clear" w:color="auto" w:fill="FFFFFF"/>
        </w:rPr>
        <w:t xml:space="preserve"> Bs. As. </w:t>
      </w:r>
      <w:proofErr w:type="gramStart"/>
      <w:r>
        <w:rPr>
          <w:rFonts w:ascii="Arial" w:hAnsi="Arial" w:cs="Arial"/>
          <w:color w:val="000000"/>
          <w:shd w:val="clear" w:color="auto" w:fill="FFFFFF"/>
        </w:rPr>
        <w:t>disponiendo</w:t>
      </w:r>
      <w:proofErr w:type="gramEnd"/>
      <w:r>
        <w:rPr>
          <w:rFonts w:ascii="Arial" w:hAnsi="Arial" w:cs="Arial"/>
          <w:color w:val="000000"/>
          <w:shd w:val="clear" w:color="auto" w:fill="FFFFFF"/>
        </w:rPr>
        <w:t xml:space="preserve"> en el salón de ventas de cada hipermercado el correspondiente material de señalización provisto por el Banco. Asimismo, CASA se compromete a ubicar y conservar el material de señalización del Banco en el hipermercado de la manera que oportunamente acuerde con el Banco, garantizando en todo momento una adecuada y eficiente promoción de los productos ofrecidos por el Banco. Por otra parte, consta que CASA efectuará, por cuenta y orden del Banco, la cobranza de las cuotas de los créditos otorgados por el Banco y de los servicios públicos y/o impuestos cancelados con la tarjeta de Crédito Permanente".</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c) A fs. 425 obra nota suscripta por el director de Banco de Servicios Financieros para ser presentada ante la Municipalidad de </w:t>
      </w:r>
      <w:proofErr w:type="spellStart"/>
      <w:r>
        <w:rPr>
          <w:rFonts w:ascii="Arial" w:hAnsi="Arial" w:cs="Arial"/>
          <w:color w:val="000000"/>
          <w:shd w:val="clear" w:color="auto" w:fill="FFFFFF"/>
        </w:rPr>
        <w:t>Hurlingham</w:t>
      </w:r>
      <w:proofErr w:type="spellEnd"/>
      <w:r>
        <w:rPr>
          <w:rFonts w:ascii="Arial" w:hAnsi="Arial" w:cs="Arial"/>
          <w:color w:val="000000"/>
          <w:shd w:val="clear" w:color="auto" w:fill="FFFFFF"/>
        </w:rPr>
        <w:t xml:space="preserve"> por el cual se autoriza a la Sra. Patricia Ana Martinez “[…] a realizar los trámites y gestiones necesarias para proceder a la habilitación de nuestra unidad ubicada en el Hipermercado Carrefour Villa </w:t>
      </w:r>
      <w:proofErr w:type="spellStart"/>
      <w:r>
        <w:rPr>
          <w:rFonts w:ascii="Arial" w:hAnsi="Arial" w:cs="Arial"/>
          <w:color w:val="000000"/>
          <w:shd w:val="clear" w:color="auto" w:fill="FFFFFF"/>
        </w:rPr>
        <w:t>Tesei</w:t>
      </w:r>
      <w:proofErr w:type="spellEnd"/>
      <w:r>
        <w:rPr>
          <w:rFonts w:ascii="Arial" w:hAnsi="Arial" w:cs="Arial"/>
          <w:color w:val="000000"/>
          <w:shd w:val="clear" w:color="auto" w:fill="FFFFFF"/>
        </w:rPr>
        <w:t xml:space="preserve"> –sito en la Avda. Vergara 1910”. </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d) A fs. 486 obra solicitud de habilitación provisoria con determinación de tasas por habilitación de comercio e industria y por inspección de seguridad e higiene.</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e) A fs. 487/88 obra el certificado de deuda; y la intimación a la actora a abonar las tasas correspondientes.</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f) A fs.490/493 obra presentación de la entidad financiera, por la que recurre la intimación de deuda y manifiesta la improcedencia de tales reclamos.</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g) A fs. 516/517 obra dictamen emitido por el Departamento de Asuntos Jurídicos Municipal y a fs. 518 Resolución de fecha 26/11/2008 de la Secretaría de Hacienda y Producción que desestima el recurso respecto de la falta de legitimación de la financiera respecto de las tasas cuestionadas y declarando prescripto los períodos incluidos desde el 01/01/99 al 31/12/2002 (cfr. art. 48 de la Ordenanza Fiscal) y 278 y 278 bis de la LOM.</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h) A fs. 520/521 obra nuevo certificado de deuda, del que fuera notificada la actora conforme nota que consta a fs.522 vta.</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i) A fs. 529/535 la firma actora impugna la nueva determinación tributaria, reiterando la improcedencia de la pretensión fiscal.</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j) A fs. 550/551 obra dictamen emitido por la Dirección de Asuntos Jurídicos Municipal y a fs. 552 obra la Resolución de la Secretaría de Hacienda y Producción del 22/12/2009, que rechaza los planteos de la recurrente y ordena recalcular la deuda en concepto de Tasas por Inspección de Seguridad e Higiene y de Habilitación de Industria y Comercio desde el 1/1/2003.</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5.3) Reseñada la normativa y las constancias necesarias a fin de resolver la cuestión, corresponde ahora verificar si se encuentran configurado el hecho imponible del tributo a fin de evaluar si la entidad financiera actora resulta ser sujeto pasivo obligado a su pago.</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Para ello, en primer lugar debo destacar que el trámite de habilitación fue iniciado por Carrefour Argentina S.A. (ver fs. 297 del </w:t>
      </w:r>
      <w:proofErr w:type="spellStart"/>
      <w:r>
        <w:rPr>
          <w:rFonts w:ascii="Arial" w:hAnsi="Arial" w:cs="Arial"/>
          <w:color w:val="000000"/>
          <w:shd w:val="clear" w:color="auto" w:fill="FFFFFF"/>
        </w:rPr>
        <w:t>exp</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adm</w:t>
      </w:r>
      <w:proofErr w:type="spellEnd"/>
      <w:r>
        <w:rPr>
          <w:rFonts w:ascii="Arial" w:hAnsi="Arial" w:cs="Arial"/>
          <w:color w:val="000000"/>
          <w:shd w:val="clear" w:color="auto" w:fill="FFFFFF"/>
        </w:rPr>
        <w:t>. N° 4133-2005-0001784-0), y ante la intimación realizada por la Comuna</w:t>
      </w:r>
      <w:r>
        <w:rPr>
          <w:rFonts w:ascii="Arial" w:hAnsi="Arial" w:cs="Arial"/>
          <w:b/>
          <w:bCs/>
          <w:color w:val="000000"/>
          <w:shd w:val="clear" w:color="auto" w:fill="FFFFFF"/>
        </w:rPr>
        <w:t xml:space="preserve"> </w:t>
      </w:r>
      <w:r>
        <w:rPr>
          <w:rFonts w:ascii="Arial" w:hAnsi="Arial" w:cs="Arial"/>
          <w:color w:val="000000"/>
          <w:shd w:val="clear" w:color="auto" w:fill="FFFFFF"/>
        </w:rPr>
        <w:t>una vez que fueran determinados los importes de las tasas a abonar en base a la información brindada, la firma antes citada señaló que -en referencia a dicho expediente- se dirigiera a la empresa Banco de Servicios Financieros S.A. (ver fs. 388).</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Ante la intimación realizada por la Comuna a realizar el trámite de habilitación (ver fs. 390) fue la propia actora quien se presentó ante la aquí demandada a solicitar la habilitación de la oficina de gestión financiera en el local sito en la Avenida Gobernador Vergara 1910 de la Localidad de Villa </w:t>
      </w:r>
      <w:proofErr w:type="spellStart"/>
      <w:r>
        <w:rPr>
          <w:rFonts w:ascii="Arial" w:hAnsi="Arial" w:cs="Arial"/>
          <w:color w:val="000000"/>
          <w:shd w:val="clear" w:color="auto" w:fill="FFFFFF"/>
        </w:rPr>
        <w:t>Tesei</w:t>
      </w:r>
      <w:proofErr w:type="spellEnd"/>
      <w:r>
        <w:rPr>
          <w:rFonts w:ascii="Arial" w:hAnsi="Arial" w:cs="Arial"/>
          <w:color w:val="000000"/>
          <w:shd w:val="clear" w:color="auto" w:fill="FFFFFF"/>
        </w:rPr>
        <w:t xml:space="preserve">, Partido de </w:t>
      </w:r>
      <w:proofErr w:type="spellStart"/>
      <w:r>
        <w:rPr>
          <w:rFonts w:ascii="Arial" w:hAnsi="Arial" w:cs="Arial"/>
          <w:color w:val="000000"/>
          <w:shd w:val="clear" w:color="auto" w:fill="FFFFFF"/>
        </w:rPr>
        <w:t>Hurligham</w:t>
      </w:r>
      <w:proofErr w:type="spellEnd"/>
      <w:r>
        <w:rPr>
          <w:rFonts w:ascii="Arial" w:hAnsi="Arial" w:cs="Arial"/>
          <w:color w:val="000000"/>
          <w:shd w:val="clear" w:color="auto" w:fill="FFFFFF"/>
        </w:rPr>
        <w:t xml:space="preserve"> (ver de fs. 411 </w:t>
      </w:r>
      <w:proofErr w:type="spellStart"/>
      <w:r>
        <w:rPr>
          <w:rFonts w:ascii="Arial" w:hAnsi="Arial" w:cs="Arial"/>
          <w:color w:val="000000"/>
          <w:shd w:val="clear" w:color="auto" w:fill="FFFFFF"/>
        </w:rPr>
        <w:t>Exp</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adm</w:t>
      </w:r>
      <w:proofErr w:type="spellEnd"/>
      <w:r>
        <w:rPr>
          <w:rFonts w:ascii="Arial" w:hAnsi="Arial" w:cs="Arial"/>
          <w:color w:val="000000"/>
          <w:shd w:val="clear" w:color="auto" w:fill="FFFFFF"/>
        </w:rPr>
        <w:t>. N° 4133-2006-0001758-0).</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De lo hasta aquí expresado, es claro que la actora fue la que dio inicio a el procedimiento administrativo para la habilitación de la oficina de gestión financiera, cuando pudo válidamente –en el caso de considerar que no correspondía realizar el trámite por no poseer local- oponerse a la solicitud de la Municipalidad de </w:t>
      </w:r>
      <w:proofErr w:type="spellStart"/>
      <w:r>
        <w:rPr>
          <w:rFonts w:ascii="Arial" w:hAnsi="Arial" w:cs="Arial"/>
          <w:color w:val="000000"/>
          <w:shd w:val="clear" w:color="auto" w:fill="FFFFFF"/>
        </w:rPr>
        <w:t>Hurlingham</w:t>
      </w:r>
      <w:proofErr w:type="spellEnd"/>
      <w:r>
        <w:rPr>
          <w:rFonts w:ascii="Arial" w:hAnsi="Arial" w:cs="Arial"/>
          <w:color w:val="000000"/>
          <w:shd w:val="clear" w:color="auto" w:fill="FFFFFF"/>
        </w:rPr>
        <w:t xml:space="preserve"> por los argumentos que aquí se discuten.</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En ese sentido, la expresión de la actora respecto a que no tuvo otra opción que la de presentar la solicitud de habilitación carece de sustento jurídico. Ello, pues reitero, en caso de considerar que no era sujeto pasible de configurar el hecho imponible que establecen las normas antes referenciadas, debió oponerse o al menos manifestar su disconformidad por las razones que hoy alega, ello al momento de iniciar voluntariamente el trámite de habilitación de la oficina financiera .</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Dicha oposición no se produjo en el expediente administrativo hasta que fuera determinado por el Municipio el pago del tributo, una vez que en el marco del procedimiento administrativo voluntariamente iniciado por la actora, se emitiera el certificado habilitación provisoria. </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Por otro lado, la actividad que desarrolla la actora en el territorio municipal de la demandada es reconocida tanto por la firma Carrefour SA como por el mismo Banco accionante, conforme surge de los planos que adjuntó la primera en el expediente N° 4133-2005-0001784-0 (fs. 298) y la segunda en el expediente N° 4133-2006-0001758-0 (fs. 427), donde se señalan los stand comerciales del Banco situados dentro del hipermercado Carrefour de Villa </w:t>
      </w:r>
      <w:proofErr w:type="spellStart"/>
      <w:r>
        <w:rPr>
          <w:rFonts w:ascii="Arial" w:hAnsi="Arial" w:cs="Arial"/>
          <w:color w:val="000000"/>
          <w:shd w:val="clear" w:color="auto" w:fill="FFFFFF"/>
        </w:rPr>
        <w:t>Tesei</w:t>
      </w:r>
      <w:proofErr w:type="spellEnd"/>
      <w:r>
        <w:rPr>
          <w:rFonts w:ascii="Arial" w:hAnsi="Arial" w:cs="Arial"/>
          <w:color w:val="000000"/>
          <w:shd w:val="clear" w:color="auto" w:fill="FFFFFF"/>
        </w:rPr>
        <w:t>.</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De tal forma, en relación al agravio de la parte actora respecto de la improcedencia de la pretensión fiscal en base a la inexistencia de actividad que necesite sustento territorial en el ejido municipal y no poseer local, establecimiento ni oficina en el radio del Municipio demandado, surge de las constancias documentales de autos y demás prueba referida, que por el contrario, la firma realiza actividad comercial en el ámbito territorial del Municipio de </w:t>
      </w:r>
      <w:proofErr w:type="spellStart"/>
      <w:r>
        <w:rPr>
          <w:rFonts w:ascii="Arial" w:hAnsi="Arial" w:cs="Arial"/>
          <w:color w:val="000000"/>
          <w:shd w:val="clear" w:color="auto" w:fill="FFFFFF"/>
        </w:rPr>
        <w:t>Hurlingham</w:t>
      </w:r>
      <w:proofErr w:type="spellEnd"/>
      <w:r>
        <w:rPr>
          <w:rFonts w:ascii="Arial" w:hAnsi="Arial" w:cs="Arial"/>
          <w:color w:val="000000"/>
          <w:shd w:val="clear" w:color="auto" w:fill="FFFFFF"/>
        </w:rPr>
        <w:t xml:space="preserve"> desde el 5 de mayo de 1998.</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En relación a la falta de valoración del informe del Banco Central de la República Argentina, en cuanto indicó que conforme los datos obrantes en dicha Institución, la actora no posee sucursales y que opera solo en su Casa Central cabe señalar que el mismo no cambia sustancialmente la cuestión a dilucidar. Ello, por cuanto la falta de una sucursal bancaria, por un lado, no desvirtúa la prestación de un servicio y actividad bancaria por parte del Banco de Servicios Financieros S.A, y por otro lado, por cuanto ha sido la propia actora quien ha iniciado los trámites de habilitación de la oficina financiera.</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Bajo tales parámetros, recuerdo que de acuerdo a la Ordenanza Fiscal e Impositiva aplicable, el hecho imponible de la “Tasa por Habilitación de Comercios e Industrias” </w:t>
      </w:r>
      <w:r>
        <w:rPr>
          <w:rFonts w:ascii="Arial" w:hAnsi="Arial" w:cs="Arial"/>
          <w:b/>
          <w:bCs/>
          <w:color w:val="000000"/>
        </w:rPr>
        <w:t>consiste en la verificación del cumplimiento de los requisitos exigibles para la habilitación de locales, establecimientos u oficinas destinadas a comercios.</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rPr>
        <w:t xml:space="preserve">De modo tal que, teniendo en cuenta esa tipificación del hecho imponible que efectúa la norma aplicable, no puede dudarse que, en razón de la naturaleza comercial de la actividad realizada en el local en cuestión, el titular está obligado a pagarla (ver SCBA CAUSA </w:t>
      </w:r>
      <w:r>
        <w:rPr>
          <w:rFonts w:ascii="Arial" w:hAnsi="Arial" w:cs="Arial"/>
          <w:color w:val="000000"/>
          <w:shd w:val="clear" w:color="auto" w:fill="FFFFFF"/>
        </w:rPr>
        <w:t xml:space="preserve">B. 59.516, “Bank Boston N.A. contra Municipalidad de Morón. Demanda contencioso administrativa” </w:t>
      </w:r>
      <w:proofErr w:type="spellStart"/>
      <w:r>
        <w:rPr>
          <w:rFonts w:ascii="Arial" w:hAnsi="Arial" w:cs="Arial"/>
          <w:color w:val="000000"/>
          <w:shd w:val="clear" w:color="auto" w:fill="FFFFFF"/>
        </w:rPr>
        <w:t>sent</w:t>
      </w:r>
      <w:proofErr w:type="spellEnd"/>
      <w:r>
        <w:rPr>
          <w:rFonts w:ascii="Arial" w:hAnsi="Arial" w:cs="Arial"/>
          <w:color w:val="000000"/>
          <w:shd w:val="clear" w:color="auto" w:fill="FFFFFF"/>
        </w:rPr>
        <w:t xml:space="preserve">. </w:t>
      </w:r>
      <w:proofErr w:type="gramStart"/>
      <w:r>
        <w:rPr>
          <w:rFonts w:ascii="Arial" w:hAnsi="Arial" w:cs="Arial"/>
          <w:color w:val="000000"/>
          <w:shd w:val="clear" w:color="auto" w:fill="FFFFFF"/>
        </w:rPr>
        <w:t>del</w:t>
      </w:r>
      <w:proofErr w:type="gramEnd"/>
      <w:r>
        <w:rPr>
          <w:rFonts w:ascii="Arial" w:hAnsi="Arial" w:cs="Arial"/>
          <w:color w:val="000000"/>
          <w:shd w:val="clear" w:color="auto" w:fill="FFFFFF"/>
        </w:rPr>
        <w:t xml:space="preserve"> 18-12-2002)</w:t>
      </w:r>
      <w:r>
        <w:rPr>
          <w:rFonts w:ascii="Arial" w:hAnsi="Arial" w:cs="Arial"/>
          <w:color w:val="000000"/>
        </w:rPr>
        <w:t>.</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Así las cosas, soy de la opinión que la firma actora resulta sujeto pasivo de la Tasa por Habilitación de Comercio e Industria del Municipio demandado, en razón de haberse presentado a solicitar la habilitación de una oficina de gestión financiera y de esa forma haber generado el hecho imponible, lo que denota la naturaleza comercial de la actividad realizada en el local en cuestión.</w:t>
      </w:r>
    </w:p>
    <w:p w:rsidR="00E27A4F" w:rsidRDefault="00E27A4F" w:rsidP="00E27A4F">
      <w:pPr>
        <w:pStyle w:val="NormalWeb"/>
        <w:spacing w:beforeAutospacing="0" w:afterAutospacing="0" w:line="360" w:lineRule="auto"/>
        <w:ind w:left="60" w:right="60" w:firstLine="620"/>
        <w:jc w:val="both"/>
      </w:pPr>
      <w:r>
        <w:rPr>
          <w:rFonts w:ascii="Arial" w:hAnsi="Arial" w:cs="Arial"/>
          <w:b/>
          <w:bCs/>
          <w:color w:val="000000"/>
          <w:shd w:val="clear" w:color="auto" w:fill="FFFFFF"/>
        </w:rPr>
        <w:t xml:space="preserve">6º) </w:t>
      </w:r>
      <w:r>
        <w:rPr>
          <w:rFonts w:ascii="Arial" w:hAnsi="Arial" w:cs="Arial"/>
          <w:color w:val="000000"/>
          <w:shd w:val="clear" w:color="auto" w:fill="FFFFFF"/>
        </w:rPr>
        <w:t>Ingresando al análisis de los agravios relativos</w:t>
      </w:r>
      <w:r>
        <w:rPr>
          <w:rFonts w:ascii="Arial" w:hAnsi="Arial" w:cs="Arial"/>
          <w:color w:val="000000"/>
        </w:rPr>
        <w:t xml:space="preserve"> al rechazo de la acción dirigida a impugnar la liquidación realizada por la Comuna por la "Tasa por Inspección de Seguridad e Higiene", es bueno recordar que el art. 132 de la Ordenanza Fiscal establece que "…Por los servicios de inspección, practicados de conformidad con las disposiciones vigentes respecto al ejercicio del poder de Policía Municipal previsto en el artículo 75 inc. 30 de la Constitución Nacional, destinados a preservar las condiciones ambientales, de salud, seguridad e higiene, laborales, productivas y sociales, controles de metrología de establecimientos, locales, depósitos, unidades habitacionales, oficinas, dependencias administrativas afectadas total o parcialmente a actividades vinculadas con la explotación económica del sujeto pasivo (primaria y/o secundaria). Son sujetos pasivos y están obligados a abonar la Tasa cuyas características y condiciones se establecen en la presente Ordenanza y por las distintas disposiciones tarifarias y/o tributarias que se dicten al respecto: las personas físicas y jurídicas que desarrollan con carácter habitual, esporádica y susceptible de habitualidad, actividades vinculadas con la transacción de bienes y/o servicios con carácter oneroso o no, dentro del Partido de </w:t>
      </w:r>
      <w:proofErr w:type="spellStart"/>
      <w:r>
        <w:rPr>
          <w:rFonts w:ascii="Arial" w:hAnsi="Arial" w:cs="Arial"/>
          <w:color w:val="000000"/>
        </w:rPr>
        <w:t>Hurlingham</w:t>
      </w:r>
      <w:proofErr w:type="spellEnd"/>
      <w:r>
        <w:rPr>
          <w:rFonts w:ascii="Arial" w:hAnsi="Arial" w:cs="Arial"/>
          <w:color w:val="000000"/>
        </w:rPr>
        <w:t>, su territorio federal y/o provincial, sean ellas comerciales, industriales, financieras, de servicios públicos o privados, concesionarios de servicios públicos".</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rPr>
        <w:t xml:space="preserve">También es bueno recordar, que en el considerando 5 del presente voto, señalé que se encontraba acreditada la presencia física de la actora quien realiza </w:t>
      </w:r>
      <w:r>
        <w:rPr>
          <w:rFonts w:ascii="Arial" w:hAnsi="Arial" w:cs="Arial"/>
          <w:color w:val="000000"/>
          <w:shd w:val="clear" w:color="auto" w:fill="FFFFFF"/>
        </w:rPr>
        <w:t xml:space="preserve">actividad comercial en el ámbito territorial del Municipio de </w:t>
      </w:r>
      <w:proofErr w:type="spellStart"/>
      <w:r>
        <w:rPr>
          <w:rFonts w:ascii="Arial" w:hAnsi="Arial" w:cs="Arial"/>
          <w:color w:val="000000"/>
          <w:shd w:val="clear" w:color="auto" w:fill="FFFFFF"/>
        </w:rPr>
        <w:t>Hurlingham</w:t>
      </w:r>
      <w:proofErr w:type="spellEnd"/>
      <w:r>
        <w:rPr>
          <w:rFonts w:ascii="Arial" w:hAnsi="Arial" w:cs="Arial"/>
          <w:color w:val="000000"/>
          <w:shd w:val="clear" w:color="auto" w:fill="FFFFFF"/>
        </w:rPr>
        <w:t xml:space="preserve"> desde el 5 de mayo de 1998 y que a su vez de había presentado ante la demandada a solicitar la habilitación del local.</w:t>
      </w:r>
      <w:r>
        <w:rPr>
          <w:rFonts w:ascii="Arial" w:hAnsi="Arial" w:cs="Arial"/>
          <w:color w:val="000000"/>
        </w:rPr>
        <w:t xml:space="preserve"> </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rPr>
        <w:t xml:space="preserve">Todo ello, me lleva a la conclusión de que la actora resulta ser sujeto pasible de configurar el hecho imponible respecto de la "Tasa por Inspección de Seguridad e Higiene", conforme lo establece el art. 132 de la Ordenanza Fiscal </w:t>
      </w:r>
      <w:r>
        <w:rPr>
          <w:rFonts w:ascii="Arial" w:hAnsi="Arial" w:cs="Arial"/>
          <w:color w:val="000000"/>
          <w:shd w:val="clear" w:color="auto" w:fill="FFFFFF"/>
        </w:rPr>
        <w:t>N° 4508.</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shd w:val="clear" w:color="auto" w:fill="FFFFFF"/>
        </w:rPr>
        <w:t xml:space="preserve">Ahora bien, sin perjuicio de lo hasta aquí expresado, entiendo que en el caso resulta aplicable lo establecido –en un caso análogo al presente- por la Corte Suprema de Justicia de la Nación en la causa </w:t>
      </w:r>
      <w:r>
        <w:rPr>
          <w:rFonts w:ascii="Arial" w:hAnsi="Arial" w:cs="Arial"/>
          <w:color w:val="000000"/>
        </w:rPr>
        <w:t>“Municipalidad de Concordia c/ Nación s/ Ejecución Fiscal” (CSJN, 26-3-09), en ocasión de dilucidar si correspondía a Nación AFJP abonar la tasa por inspección de higiene, sanitaria, profilaxis y seguridad en una sucursal del Banco Nación sita en dicha localidad- sostuvo que “…el Municipio no ha alegado, ni mucho menos demostrado, haber dividido el pago de la tasa correspondiente a los servicios brindados al inmueble y al personal del Banco de la Nación entre éste y la aquí ejecutada, en función de las prestaciones concretas e individualizadas que afirma haber efectuado a cada uno de ellos, ni tampoco haber devuelto la gabela percibida en exceso de la entidad financiera en pago por los servicios prestados a la accionada o, a todo evento, haber dado inicio de forma oficiosa a las actuaciones administrativas tendientes a tal fin –como sería su deber al advertir el pago de un tributo sin causa, dada la obligación de obrar de manera leal, franca y pública que ha de presidir toda actuación estatal”.</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rPr>
        <w:t xml:space="preserve">Es que, en este tipo de tasa, el servicio comunal que lleva inserto requiere un mínimo componente de individualización, a los fines de poder verificarse, aunque sea en forma anual, si los sujetos alcanzados satisfacen los recaudos normativos relativos a seguridad, salubridad e higiene para poder funcionar en sus respectivos locales y/o establecimientos sin riesgo hacia la comunidad (conf. CCALP </w:t>
      </w:r>
      <w:r>
        <w:rPr>
          <w:rFonts w:ascii="Arial" w:hAnsi="Arial" w:cs="Arial"/>
          <w:color w:val="000000"/>
          <w:shd w:val="clear" w:color="auto" w:fill="FFFFFF"/>
        </w:rPr>
        <w:t>CAUSA Nº 18565  “BANCO DE SERVICIOS FINANCIEROS SA C/ MUNICIPALIDAD DE AVELLANEDA S/PRETENSION ANULATORIA - OTROS JUICIOS”</w:t>
      </w:r>
      <w:r>
        <w:rPr>
          <w:rFonts w:ascii="Arial" w:hAnsi="Arial" w:cs="Arial"/>
          <w:color w:val="000000"/>
        </w:rPr>
        <w:t xml:space="preserve">. </w:t>
      </w:r>
      <w:proofErr w:type="spellStart"/>
      <w:r>
        <w:rPr>
          <w:rFonts w:ascii="Arial" w:hAnsi="Arial" w:cs="Arial"/>
          <w:color w:val="000000"/>
        </w:rPr>
        <w:t>Sent</w:t>
      </w:r>
      <w:proofErr w:type="spellEnd"/>
      <w:r>
        <w:rPr>
          <w:rFonts w:ascii="Arial" w:hAnsi="Arial" w:cs="Arial"/>
          <w:color w:val="000000"/>
        </w:rPr>
        <w:t xml:space="preserve">. 12/04/2018). </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rPr>
        <w:t xml:space="preserve">Véase que de los propios dichos de la Comuna en su contestación de la demanda, se desprende que el procedimiento administrativo para determinar el Tributo se inició al momento en que se solicitó la habilitación por parte de la actora del local financiero. </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rPr>
        <w:t xml:space="preserve">Ello, a mi entender, alcanza para tener por configurado el hecho imponible de la Tasa por Habilitación como se estableciera con anterioridad, </w:t>
      </w:r>
      <w:r>
        <w:rPr>
          <w:rFonts w:ascii="Arial" w:hAnsi="Arial" w:cs="Arial"/>
          <w:b/>
          <w:bCs/>
          <w:color w:val="000000"/>
          <w:u w:val="single"/>
        </w:rPr>
        <w:t>pero no así para tener por configurado el hecho imponible en cuanto a la TISH pues no ha demostrado la Comuna que se haya dividido el pago de la tasa entre Carrefour S.A. y la aquí actora (conf. CSJN causa antes citada</w:t>
      </w:r>
      <w:r>
        <w:rPr>
          <w:rFonts w:ascii="Arial" w:hAnsi="Arial" w:cs="Arial"/>
          <w:color w:val="000000"/>
        </w:rPr>
        <w:t>).</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rPr>
        <w:t xml:space="preserve">Debo señalar que por una cuestión de seguridad jurídica y economía procesal ha sido la propia Suprema Corte provincial la que aconseja sujetar los fallos de los tribunales inferiores a lo que resulta doctrina judicial de la Corte Suprema –cfr. SCBA, C 85774, “Otero”, </w:t>
      </w:r>
      <w:proofErr w:type="spellStart"/>
      <w:r>
        <w:rPr>
          <w:rFonts w:ascii="Arial" w:hAnsi="Arial" w:cs="Arial"/>
          <w:color w:val="000000"/>
        </w:rPr>
        <w:t>sent</w:t>
      </w:r>
      <w:proofErr w:type="spellEnd"/>
      <w:r>
        <w:rPr>
          <w:rFonts w:ascii="Arial" w:hAnsi="Arial" w:cs="Arial"/>
          <w:color w:val="000000"/>
        </w:rPr>
        <w:t xml:space="preserve">. </w:t>
      </w:r>
      <w:proofErr w:type="gramStart"/>
      <w:r>
        <w:rPr>
          <w:rFonts w:ascii="Arial" w:hAnsi="Arial" w:cs="Arial"/>
          <w:color w:val="000000"/>
        </w:rPr>
        <w:t>del</w:t>
      </w:r>
      <w:proofErr w:type="gramEnd"/>
      <w:r>
        <w:rPr>
          <w:rFonts w:ascii="Arial" w:hAnsi="Arial" w:cs="Arial"/>
          <w:color w:val="000000"/>
        </w:rPr>
        <w:t xml:space="preserve"> 05/05/2010; L 116711, “Borja”, </w:t>
      </w:r>
      <w:proofErr w:type="spellStart"/>
      <w:r>
        <w:rPr>
          <w:rFonts w:ascii="Arial" w:hAnsi="Arial" w:cs="Arial"/>
          <w:color w:val="000000"/>
        </w:rPr>
        <w:t>sent</w:t>
      </w:r>
      <w:proofErr w:type="spellEnd"/>
      <w:r>
        <w:rPr>
          <w:rFonts w:ascii="Arial" w:hAnsi="Arial" w:cs="Arial"/>
          <w:color w:val="000000"/>
        </w:rPr>
        <w:t xml:space="preserve">. </w:t>
      </w:r>
      <w:proofErr w:type="gramStart"/>
      <w:r>
        <w:rPr>
          <w:rFonts w:ascii="Arial" w:hAnsi="Arial" w:cs="Arial"/>
          <w:color w:val="000000"/>
        </w:rPr>
        <w:t>del</w:t>
      </w:r>
      <w:proofErr w:type="gramEnd"/>
      <w:r>
        <w:rPr>
          <w:rFonts w:ascii="Arial" w:hAnsi="Arial" w:cs="Arial"/>
          <w:color w:val="000000"/>
        </w:rPr>
        <w:t xml:space="preserve"> 06/05/2015, entre otras.</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rPr>
        <w:t xml:space="preserve">Por todo ello, entiendo que en este caso particular, corresponde hacer lugar a la demanda y declarar la nulidad del acto determinativo en lo relacionado al pago de la "Tasa por Inspección de Seguridad e Higiene", establecida por el art. 132 de la Ordenanza Fiscal </w:t>
      </w:r>
      <w:r>
        <w:rPr>
          <w:rFonts w:ascii="Arial" w:hAnsi="Arial" w:cs="Arial"/>
          <w:color w:val="000000"/>
          <w:shd w:val="clear" w:color="auto" w:fill="FFFFFF"/>
        </w:rPr>
        <w:t xml:space="preserve">N° 4508. </w:t>
      </w:r>
    </w:p>
    <w:p w:rsidR="00E27A4F" w:rsidRDefault="00E27A4F" w:rsidP="00E27A4F">
      <w:pPr>
        <w:pStyle w:val="NormalWeb"/>
        <w:spacing w:beforeAutospacing="0" w:afterAutospacing="0" w:line="360" w:lineRule="auto"/>
        <w:ind w:left="60" w:right="60" w:firstLine="620"/>
        <w:jc w:val="both"/>
      </w:pPr>
      <w:r>
        <w:rPr>
          <w:rFonts w:ascii="Arial" w:hAnsi="Arial" w:cs="Arial"/>
          <w:color w:val="000000"/>
        </w:rPr>
        <w:t>Por todo lo expuesto, corresponde declarar la nulidad parcial del acto administrativo que determinó de oficio la obligación fiscal respecto del Banco de Servicios Financieros S.A. en relación a la tasa por Inspección de Seguridad e Higiene para los periodos del 1/2003 al 6/ 2009, por lo que propongo a mis distinguidos colegas que se haga lugar parcialmente al agravio vertido.</w:t>
      </w:r>
    </w:p>
    <w:p w:rsidR="00E27A4F" w:rsidRDefault="00E27A4F" w:rsidP="00E27A4F">
      <w:pPr>
        <w:pStyle w:val="NormalWeb"/>
        <w:spacing w:line="360" w:lineRule="auto"/>
        <w:ind w:firstLine="700"/>
        <w:jc w:val="both"/>
      </w:pPr>
      <w:r>
        <w:rPr>
          <w:rFonts w:ascii="Arial" w:hAnsi="Arial" w:cs="Arial"/>
          <w:color w:val="000000"/>
        </w:rPr>
        <w:t xml:space="preserve">En consecuencia, deberá la Municipalidad de </w:t>
      </w:r>
      <w:proofErr w:type="spellStart"/>
      <w:r>
        <w:rPr>
          <w:rFonts w:ascii="Arial" w:hAnsi="Arial" w:cs="Arial"/>
          <w:color w:val="000000"/>
        </w:rPr>
        <w:t>Hurlingham</w:t>
      </w:r>
      <w:proofErr w:type="spellEnd"/>
      <w:r>
        <w:rPr>
          <w:rFonts w:ascii="Arial" w:hAnsi="Arial" w:cs="Arial"/>
          <w:color w:val="000000"/>
        </w:rPr>
        <w:t xml:space="preserve"> a devolver a Banco de Servicios Financieros S.A., la cantidad de $ 37.191,60, depositada oportunamente en sede administrativa, en cumplimiento del requisito de admisibilidad de la demanda </w:t>
      </w:r>
      <w:proofErr w:type="gramStart"/>
      <w:r>
        <w:rPr>
          <w:rFonts w:ascii="Arial" w:hAnsi="Arial" w:cs="Arial"/>
          <w:color w:val="000000"/>
        </w:rPr>
        <w:t>estipulado</w:t>
      </w:r>
      <w:proofErr w:type="gramEnd"/>
      <w:r>
        <w:rPr>
          <w:rFonts w:ascii="Arial" w:hAnsi="Arial" w:cs="Arial"/>
          <w:color w:val="000000"/>
        </w:rPr>
        <w:t xml:space="preserve"> en el artículo 19 del C.P.C.A., respecto de la "Tasa por Inspección de Seguridad e Higiene". Ello, con más los intereses calculados </w:t>
      </w:r>
      <w:r>
        <w:rPr>
          <w:rFonts w:ascii="Arial" w:hAnsi="Arial" w:cs="Arial"/>
        </w:rPr>
        <w:t xml:space="preserve">según la tasa pasiva más alta fijada por el Banco de la Provincia de Buenos Aires en sus depósitos a treinta (30) días, vigente al inicio de cada uno de los períodos comprendidos y, por aquellos días que no alcancen a cubrir el lapso señalado, el cálculo debe ser diario con igual tasa, desde la fecha del depósito hasta el día de su efectivo pago (arts. 622 y 623, Código Civil de Vélez Sarsfield; 7 y 768, inc. "c", Código Civil y Comercial de la Nación; 7 y 10, ley 23.928 y </w:t>
      </w:r>
      <w:proofErr w:type="spellStart"/>
      <w:r>
        <w:rPr>
          <w:rFonts w:ascii="Arial" w:hAnsi="Arial" w:cs="Arial"/>
        </w:rPr>
        <w:t>modif</w:t>
      </w:r>
      <w:proofErr w:type="spellEnd"/>
      <w:r>
        <w:rPr>
          <w:rFonts w:ascii="Arial" w:hAnsi="Arial" w:cs="Arial"/>
        </w:rPr>
        <w:t>, causas “B 62.488 “</w:t>
      </w:r>
      <w:proofErr w:type="spellStart"/>
      <w:r>
        <w:rPr>
          <w:rFonts w:ascii="Arial" w:hAnsi="Arial" w:cs="Arial"/>
        </w:rPr>
        <w:t>Ubertalli</w:t>
      </w:r>
      <w:proofErr w:type="spellEnd"/>
      <w:r>
        <w:rPr>
          <w:rFonts w:ascii="Arial" w:hAnsi="Arial" w:cs="Arial"/>
        </w:rPr>
        <w:t>”, C. 119.176, "Cabrera” entre muchas otras).</w:t>
      </w:r>
    </w:p>
    <w:p w:rsidR="00E27A4F" w:rsidRDefault="00E27A4F" w:rsidP="00E27A4F">
      <w:pPr>
        <w:pStyle w:val="NormalWeb"/>
        <w:spacing w:line="360" w:lineRule="auto"/>
        <w:ind w:firstLine="700"/>
        <w:jc w:val="both"/>
      </w:pPr>
      <w:r>
        <w:rPr>
          <w:rFonts w:ascii="Arial" w:hAnsi="Arial" w:cs="Arial"/>
          <w:color w:val="000000"/>
        </w:rPr>
        <w:t>Ello, sin perjuicio de la validez del procedimiento llevado a cabo respecto de la por Tasa por Habilitación de Comercio e Industria y la determinación del mismo.</w:t>
      </w:r>
    </w:p>
    <w:p w:rsidR="00E27A4F" w:rsidRDefault="00E27A4F" w:rsidP="00E27A4F">
      <w:pPr>
        <w:pStyle w:val="NormalWeb"/>
        <w:spacing w:line="360" w:lineRule="auto"/>
        <w:ind w:firstLine="700"/>
        <w:jc w:val="both"/>
      </w:pPr>
      <w:r>
        <w:rPr>
          <w:rFonts w:ascii="Arial" w:hAnsi="Arial" w:cs="Arial"/>
          <w:b/>
          <w:bCs/>
          <w:color w:val="000000"/>
        </w:rPr>
        <w:t>7º)</w:t>
      </w:r>
      <w:r>
        <w:rPr>
          <w:rFonts w:ascii="Arial" w:hAnsi="Arial" w:cs="Arial"/>
          <w:color w:val="000000"/>
        </w:rPr>
        <w:t xml:space="preserve"> Por todo lo expuesto, propongo: 1º) Hacer lugar parcialmente al recurso de apelación interpuesto por la parte actora y, en consecuencia, revocar la sentencia de grado en cuanto consideró configurado el hecho imponible de la tasa por inspección de seguridad e higiene, y en cuanto no hizo lugar a la repetición; 2º) Ordenando a la Municipalidad de </w:t>
      </w:r>
      <w:proofErr w:type="spellStart"/>
      <w:r>
        <w:rPr>
          <w:rFonts w:ascii="Arial" w:hAnsi="Arial" w:cs="Arial"/>
          <w:color w:val="000000"/>
        </w:rPr>
        <w:t>Hurlingham</w:t>
      </w:r>
      <w:proofErr w:type="spellEnd"/>
      <w:r>
        <w:rPr>
          <w:rFonts w:ascii="Arial" w:hAnsi="Arial" w:cs="Arial"/>
          <w:color w:val="000000"/>
        </w:rPr>
        <w:t xml:space="preserve"> a devolver a Banco de Servicios Financieros S.A., la cantidad de $ 37.191,60, depositada oportunamente en sede administrativa, en cumplimiento del requisito de admisibilidad de la demanda estipulado en el artículo 19 del C.P.C.A. Ello, con más los intereses calculados </w:t>
      </w:r>
      <w:r>
        <w:rPr>
          <w:rFonts w:ascii="Arial" w:hAnsi="Arial" w:cs="Arial"/>
        </w:rPr>
        <w:t xml:space="preserve">según la tasa pasiva más alta fijada por el Banco de la Provincia de Buenos Aires en sus depósitos a treinta (30) días, vigente al inicio de cada uno de los períodos comprendidos y, por aquellos días que no alcancen a cubrir el lapso señalado, el cálculo debe ser diario con igual tasa, desde la fecha del depósito hasta el día de su efectivo pago (arts. 622 y 623, Código Civil de Vélez Sarsfield; 7 y 768, inc. "c", Código Civil y Comercial de la Nación; 7 y 10, ley 23.928 y </w:t>
      </w:r>
      <w:proofErr w:type="spellStart"/>
      <w:r>
        <w:rPr>
          <w:rFonts w:ascii="Arial" w:hAnsi="Arial" w:cs="Arial"/>
        </w:rPr>
        <w:t>modif</w:t>
      </w:r>
      <w:proofErr w:type="spellEnd"/>
      <w:r>
        <w:rPr>
          <w:rFonts w:ascii="Arial" w:hAnsi="Arial" w:cs="Arial"/>
        </w:rPr>
        <w:t>, causas “B 62.488 “</w:t>
      </w:r>
      <w:proofErr w:type="spellStart"/>
      <w:r>
        <w:rPr>
          <w:rFonts w:ascii="Arial" w:hAnsi="Arial" w:cs="Arial"/>
        </w:rPr>
        <w:t>Ubertalli</w:t>
      </w:r>
      <w:proofErr w:type="spellEnd"/>
      <w:r>
        <w:rPr>
          <w:rFonts w:ascii="Arial" w:hAnsi="Arial" w:cs="Arial"/>
        </w:rPr>
        <w:t xml:space="preserve">”, C. 119.176, "Cabrera” entre muchas otras). </w:t>
      </w:r>
      <w:r>
        <w:rPr>
          <w:rFonts w:ascii="Arial" w:hAnsi="Arial" w:cs="Arial"/>
          <w:color w:val="000000"/>
        </w:rPr>
        <w:t>3º) Confirmar la sentencia en cuanto considero configurado el hecho imponible respecto de la Tasa por Habilitación de Comercio e Industria. 4º) Distribuir las costas de ambas instancias en el orden causado (art. 51 inc. 1 del CCA); 5º) Diferir la regulación de honorarios para el momento procesal oportuno.</w:t>
      </w:r>
      <w:r>
        <w:rPr>
          <w:rFonts w:ascii="Arial" w:hAnsi="Arial" w:cs="Arial"/>
          <w:color w:val="000000"/>
          <w:sz w:val="22"/>
          <w:szCs w:val="22"/>
        </w:rPr>
        <w:t xml:space="preserve"> </w:t>
      </w:r>
      <w:r>
        <w:rPr>
          <w:rFonts w:ascii="Arial" w:hAnsi="Arial" w:cs="Arial"/>
          <w:b/>
          <w:bCs/>
          <w:color w:val="000000"/>
          <w:sz w:val="22"/>
          <w:szCs w:val="22"/>
        </w:rPr>
        <w:t>ASÍ LO VOTO.</w:t>
      </w:r>
    </w:p>
    <w:p w:rsidR="00E27A4F" w:rsidRDefault="00E27A4F" w:rsidP="00E27A4F">
      <w:pPr>
        <w:pStyle w:val="NormalWeb"/>
        <w:spacing w:line="360" w:lineRule="auto"/>
        <w:ind w:right="60" w:firstLine="700"/>
        <w:jc w:val="both"/>
      </w:pPr>
      <w:r>
        <w:rPr>
          <w:rFonts w:ascii="Arial" w:hAnsi="Arial" w:cs="Arial"/>
          <w:color w:val="000000"/>
        </w:rPr>
        <w:t xml:space="preserve">Los señores Jueces Carlos </w:t>
      </w:r>
      <w:proofErr w:type="spellStart"/>
      <w:r>
        <w:rPr>
          <w:rFonts w:ascii="Arial" w:hAnsi="Arial" w:cs="Arial"/>
          <w:color w:val="000000"/>
        </w:rPr>
        <w:t>Ramon</w:t>
      </w:r>
      <w:proofErr w:type="spellEnd"/>
      <w:r>
        <w:rPr>
          <w:rFonts w:ascii="Arial" w:hAnsi="Arial" w:cs="Arial"/>
          <w:color w:val="000000"/>
        </w:rPr>
        <w:t xml:space="preserve"> </w:t>
      </w:r>
      <w:proofErr w:type="spellStart"/>
      <w:r>
        <w:rPr>
          <w:rFonts w:ascii="Arial" w:hAnsi="Arial" w:cs="Arial"/>
          <w:color w:val="000000"/>
        </w:rPr>
        <w:t>Lami</w:t>
      </w:r>
      <w:proofErr w:type="spellEnd"/>
      <w:r>
        <w:rPr>
          <w:rFonts w:ascii="Arial" w:hAnsi="Arial" w:cs="Arial"/>
          <w:color w:val="000000"/>
        </w:rPr>
        <w:t xml:space="preserve"> y María Silvina </w:t>
      </w:r>
      <w:proofErr w:type="spellStart"/>
      <w:r>
        <w:rPr>
          <w:rFonts w:ascii="Arial" w:hAnsi="Arial" w:cs="Arial"/>
          <w:color w:val="000000"/>
        </w:rPr>
        <w:t>Perez</w:t>
      </w:r>
      <w:proofErr w:type="spellEnd"/>
      <w:r>
        <w:rPr>
          <w:rFonts w:ascii="Arial" w:hAnsi="Arial" w:cs="Arial"/>
          <w:color w:val="000000"/>
        </w:rPr>
        <w:t xml:space="preserve"> votaron a la cuestión planteada en igual sentido y por los mismos fundamentos, con lo que terminó el Acuerdo dictándose la siguiente</w:t>
      </w:r>
    </w:p>
    <w:p w:rsidR="00E27A4F" w:rsidRDefault="00E27A4F" w:rsidP="00E27A4F">
      <w:pPr>
        <w:pStyle w:val="NormalWeb"/>
        <w:spacing w:beforeAutospacing="0" w:afterAutospacing="0" w:line="360" w:lineRule="auto"/>
        <w:ind w:left="60" w:right="60" w:firstLine="620"/>
        <w:jc w:val="both"/>
      </w:pPr>
      <w:r>
        <w:rPr>
          <w:rFonts w:ascii="Arial" w:hAnsi="Arial" w:cs="Arial"/>
          <w:b/>
          <w:bCs/>
          <w:color w:val="000000"/>
          <w:u w:val="single"/>
        </w:rPr>
        <w:t>S E N T E N C I A</w:t>
      </w:r>
    </w:p>
    <w:p w:rsidR="00E27A4F" w:rsidRDefault="00E27A4F" w:rsidP="00E27A4F">
      <w:pPr>
        <w:pStyle w:val="NormalWeb"/>
        <w:spacing w:after="200" w:afterAutospacing="0" w:line="360" w:lineRule="auto"/>
        <w:ind w:firstLine="700"/>
        <w:jc w:val="both"/>
      </w:pPr>
      <w:r>
        <w:rPr>
          <w:rFonts w:ascii="Arial" w:hAnsi="Arial" w:cs="Arial"/>
          <w:color w:val="000000"/>
        </w:rPr>
        <w:t xml:space="preserve">En virtud del resultado del acuerdo que antecede, este Tribunal </w:t>
      </w:r>
      <w:r>
        <w:rPr>
          <w:rFonts w:ascii="Arial" w:hAnsi="Arial" w:cs="Arial"/>
          <w:b/>
          <w:bCs/>
          <w:color w:val="000000"/>
        </w:rPr>
        <w:t>RESUELVE:</w:t>
      </w:r>
      <w:r>
        <w:rPr>
          <w:rFonts w:ascii="Arial" w:hAnsi="Arial" w:cs="Arial"/>
          <w:color w:val="000000"/>
        </w:rPr>
        <w:t xml:space="preserve"> </w:t>
      </w:r>
      <w:r>
        <w:rPr>
          <w:rFonts w:ascii="Arial" w:hAnsi="Arial" w:cs="Arial"/>
          <w:b/>
          <w:bCs/>
          <w:color w:val="000000"/>
        </w:rPr>
        <w:t>1º)</w:t>
      </w:r>
      <w:r>
        <w:rPr>
          <w:rFonts w:ascii="Arial" w:hAnsi="Arial" w:cs="Arial"/>
          <w:color w:val="000000"/>
        </w:rPr>
        <w:t xml:space="preserve"> Hacer lugar parcialmente al recurso de apelación interpuesto por la parte actora y, en consecuencia, revocar la sentencia de grado en cuanto consideró configurado el hecho imponible de la tasa por inspección de seguridad e higiene, y en cuanto no hizo lugar a la repetición; </w:t>
      </w:r>
      <w:r>
        <w:rPr>
          <w:rFonts w:ascii="Arial" w:hAnsi="Arial" w:cs="Arial"/>
          <w:b/>
          <w:bCs/>
          <w:color w:val="000000"/>
        </w:rPr>
        <w:t>2º)</w:t>
      </w:r>
      <w:r>
        <w:rPr>
          <w:rFonts w:ascii="Arial" w:hAnsi="Arial" w:cs="Arial"/>
          <w:color w:val="000000"/>
        </w:rPr>
        <w:t xml:space="preserve"> Ordenando a la Municipalidad de </w:t>
      </w:r>
      <w:proofErr w:type="spellStart"/>
      <w:r>
        <w:rPr>
          <w:rFonts w:ascii="Arial" w:hAnsi="Arial" w:cs="Arial"/>
          <w:color w:val="000000"/>
        </w:rPr>
        <w:t>Hurlingham</w:t>
      </w:r>
      <w:proofErr w:type="spellEnd"/>
      <w:r>
        <w:rPr>
          <w:rFonts w:ascii="Arial" w:hAnsi="Arial" w:cs="Arial"/>
          <w:color w:val="000000"/>
        </w:rPr>
        <w:t xml:space="preserve"> a devolver al Banco de Servicios Financieros S.A., la cantidad de $ 37.191,60, depositada oportunamente en sede administrativa, en cumplimiento del requisito de admisibilidad de la demanda estipulado en el artículo 19 del C.P.C.A. Ello, con más los intereses calculados </w:t>
      </w:r>
      <w:r>
        <w:rPr>
          <w:rFonts w:ascii="Arial" w:hAnsi="Arial" w:cs="Arial"/>
        </w:rPr>
        <w:t xml:space="preserve">según la tasa pasiva más alta fijada por el Banco de la Provincia de Buenos Aires en sus depósitos a treinta (30) días, vigente al inicio de cada uno de los períodos comprendidos y, por aquellos días que no alcancen a cubrir el lapso señalado, el cálculo debe ser diario con igual tasa, desde la fecha del depósito hasta el día de su efectivo pago (arts. 622 y 623, Código Civil de Vélez Sarsfield; 7 y 768, inc. "c", Código Civil y Comercial de la Nación; 7 y 10, ley 23.928 y </w:t>
      </w:r>
      <w:proofErr w:type="spellStart"/>
      <w:r>
        <w:rPr>
          <w:rFonts w:ascii="Arial" w:hAnsi="Arial" w:cs="Arial"/>
        </w:rPr>
        <w:t>modif</w:t>
      </w:r>
      <w:proofErr w:type="spellEnd"/>
      <w:r>
        <w:rPr>
          <w:rFonts w:ascii="Arial" w:hAnsi="Arial" w:cs="Arial"/>
        </w:rPr>
        <w:t>, causas “B 62.488 “</w:t>
      </w:r>
      <w:proofErr w:type="spellStart"/>
      <w:r>
        <w:rPr>
          <w:rFonts w:ascii="Arial" w:hAnsi="Arial" w:cs="Arial"/>
        </w:rPr>
        <w:t>Ubertalli</w:t>
      </w:r>
      <w:proofErr w:type="spellEnd"/>
      <w:r>
        <w:rPr>
          <w:rFonts w:ascii="Arial" w:hAnsi="Arial" w:cs="Arial"/>
        </w:rPr>
        <w:t xml:space="preserve">”, C. 119.176, "Cabrera” entre muchas otras). </w:t>
      </w:r>
      <w:r>
        <w:rPr>
          <w:rFonts w:ascii="Arial" w:hAnsi="Arial" w:cs="Arial"/>
          <w:b/>
          <w:bCs/>
          <w:color w:val="000000"/>
        </w:rPr>
        <w:t>3º)</w:t>
      </w:r>
      <w:r>
        <w:rPr>
          <w:rFonts w:ascii="Arial" w:hAnsi="Arial" w:cs="Arial"/>
          <w:color w:val="000000"/>
        </w:rPr>
        <w:t xml:space="preserve"> Confirmar la sentencia en cuanto considero configurado el hecho imponible respecto de la Tasa por Habilitación de Comercio e Industria. </w:t>
      </w:r>
      <w:r>
        <w:rPr>
          <w:rFonts w:ascii="Arial" w:hAnsi="Arial" w:cs="Arial"/>
          <w:b/>
          <w:bCs/>
          <w:color w:val="000000"/>
        </w:rPr>
        <w:t>4º)</w:t>
      </w:r>
      <w:r>
        <w:rPr>
          <w:rFonts w:ascii="Arial" w:hAnsi="Arial" w:cs="Arial"/>
          <w:color w:val="000000"/>
        </w:rPr>
        <w:t xml:space="preserve"> Distribuir las costas de ambas instancias en el orden causado (art. 51 inc. 1 del CCA);</w:t>
      </w:r>
      <w:r>
        <w:rPr>
          <w:rFonts w:ascii="Arial" w:hAnsi="Arial" w:cs="Arial"/>
          <w:color w:val="000000"/>
          <w:sz w:val="22"/>
          <w:szCs w:val="22"/>
        </w:rPr>
        <w:t xml:space="preserve"> </w:t>
      </w:r>
      <w:r>
        <w:rPr>
          <w:rFonts w:ascii="Arial" w:hAnsi="Arial" w:cs="Arial"/>
          <w:b/>
          <w:bCs/>
          <w:color w:val="000000"/>
        </w:rPr>
        <w:t>5º)</w:t>
      </w:r>
      <w:r>
        <w:rPr>
          <w:rFonts w:ascii="Arial" w:hAnsi="Arial" w:cs="Arial"/>
          <w:color w:val="000000"/>
        </w:rPr>
        <w:t xml:space="preserve"> Diferir la regulación de honorarios para el momento procesal oportuno. </w:t>
      </w:r>
      <w:r>
        <w:rPr>
          <w:rFonts w:ascii="Arial" w:hAnsi="Arial" w:cs="Arial"/>
        </w:rPr>
        <w:t xml:space="preserve">Regístrese, notifíquese a las partes en sus domicilios electrónicos (cfr. art. 1 inc. </w:t>
      </w:r>
      <w:proofErr w:type="gramStart"/>
      <w:r>
        <w:rPr>
          <w:rFonts w:ascii="Arial" w:hAnsi="Arial" w:cs="Arial"/>
        </w:rPr>
        <w:t>3.c.2</w:t>
      </w:r>
      <w:proofErr w:type="gramEnd"/>
      <w:r>
        <w:rPr>
          <w:rFonts w:ascii="Arial" w:hAnsi="Arial" w:cs="Arial"/>
        </w:rPr>
        <w:t xml:space="preserve"> de la Res. </w:t>
      </w:r>
      <w:proofErr w:type="gramStart"/>
      <w:r>
        <w:rPr>
          <w:rFonts w:ascii="Arial" w:hAnsi="Arial" w:cs="Arial"/>
        </w:rPr>
        <w:t>n</w:t>
      </w:r>
      <w:proofErr w:type="gramEnd"/>
      <w:r>
        <w:rPr>
          <w:rFonts w:ascii="Arial" w:hAnsi="Arial" w:cs="Arial"/>
        </w:rPr>
        <w:t>° 10/20 de la Presidencia de la SCBA) y, oportunamente, procédase a la devolución al Juzgado de origen. </w:t>
      </w:r>
    </w:p>
    <w:sectPr w:rsidR="00E27A4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A4F"/>
    <w:rsid w:val="00E27A4F"/>
    <w:rsid w:val="00FE538B"/>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0D171C-1BDB-490A-8635-899C7579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A4F"/>
    <w:pPr>
      <w:spacing w:after="0" w:line="240" w:lineRule="auto"/>
    </w:pPr>
    <w:rPr>
      <w:rFonts w:ascii="Times New Roman" w:hAnsi="Times New Roman" w:cs="Times New Roman"/>
      <w:sz w:val="24"/>
      <w:szCs w:val="24"/>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27A4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18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5734</Words>
  <Characters>31541</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Grinberg</dc:creator>
  <cp:keywords/>
  <dc:description/>
  <cp:lastModifiedBy>Gustavo Grinberg</cp:lastModifiedBy>
  <cp:revision>1</cp:revision>
  <dcterms:created xsi:type="dcterms:W3CDTF">2020-10-13T13:06:00Z</dcterms:created>
  <dcterms:modified xsi:type="dcterms:W3CDTF">2020-10-13T13:07:00Z</dcterms:modified>
</cp:coreProperties>
</file>